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9B76" w14:textId="77777777" w:rsidR="00613FDD" w:rsidRDefault="00613FDD"/>
    <w:tbl>
      <w:tblPr>
        <w:tblW w:w="13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3926"/>
      </w:tblGrid>
      <w:tr w:rsidR="00FF0F7F" w:rsidRPr="00210A6A" w14:paraId="2221AED7" w14:textId="77777777" w:rsidTr="00987AC5">
        <w:tc>
          <w:tcPr>
            <w:tcW w:w="13926" w:type="dxa"/>
            <w:tcBorders>
              <w:top w:val="nil"/>
              <w:left w:val="nil"/>
              <w:bottom w:val="nil"/>
              <w:right w:val="nil"/>
            </w:tcBorders>
            <w:shd w:val="clear" w:color="auto" w:fill="E32725"/>
          </w:tcPr>
          <w:p w14:paraId="7FEF8D21" w14:textId="77777777" w:rsidR="00613FDD" w:rsidRDefault="00613FDD" w:rsidP="00770986">
            <w:pPr>
              <w:jc w:val="center"/>
              <w:rPr>
                <w:b/>
                <w:color w:val="FFFFFF"/>
              </w:rPr>
            </w:pPr>
          </w:p>
          <w:p w14:paraId="6761C77A" w14:textId="05D22863" w:rsidR="00613FDD" w:rsidRDefault="00613FDD" w:rsidP="00613FDD">
            <w:pPr>
              <w:jc w:val="center"/>
              <w:rPr>
                <w:b/>
                <w:bCs/>
                <w:color w:val="FFFFFF" w:themeColor="background1"/>
                <w:sz w:val="40"/>
                <w:szCs w:val="40"/>
              </w:rPr>
            </w:pPr>
            <w:r w:rsidRPr="00FC3865">
              <w:rPr>
                <w:b/>
                <w:bCs/>
                <w:color w:val="FFFFFF" w:themeColor="background1"/>
                <w:sz w:val="40"/>
                <w:szCs w:val="40"/>
              </w:rPr>
              <w:t>FORMAT BEGROTING - SUBSIDIEREGELING KETENAANPAK VALPREVENTIE</w:t>
            </w:r>
            <w:r w:rsidR="00CE0F6B">
              <w:rPr>
                <w:b/>
                <w:bCs/>
                <w:color w:val="FFFFFF" w:themeColor="background1"/>
                <w:sz w:val="40"/>
                <w:szCs w:val="40"/>
              </w:rPr>
              <w:t xml:space="preserve"> 2026</w:t>
            </w:r>
          </w:p>
          <w:p w14:paraId="1E259068" w14:textId="6601E1B2" w:rsidR="00613FDD" w:rsidRPr="00210A6A" w:rsidRDefault="00613FDD" w:rsidP="00770986">
            <w:pPr>
              <w:jc w:val="center"/>
              <w:rPr>
                <w:b/>
                <w:color w:val="FFFFFF"/>
              </w:rPr>
            </w:pPr>
          </w:p>
        </w:tc>
      </w:tr>
    </w:tbl>
    <w:p w14:paraId="5046E778" w14:textId="77777777" w:rsidR="0017374D" w:rsidRDefault="0017374D" w:rsidP="0017374D">
      <w:pPr>
        <w:spacing w:after="0"/>
        <w:rPr>
          <w:rFonts w:asciiTheme="minorHAnsi" w:hAnsiTheme="minorHAnsi" w:cstheme="minorHAnsi"/>
        </w:rPr>
      </w:pPr>
    </w:p>
    <w:p w14:paraId="0E34446E" w14:textId="77777777" w:rsidR="00D43036" w:rsidRDefault="00D43036" w:rsidP="0017374D">
      <w:pPr>
        <w:spacing w:after="0"/>
        <w:rPr>
          <w:rFonts w:asciiTheme="minorHAnsi" w:hAnsiTheme="minorHAnsi" w:cstheme="minorHAnsi"/>
        </w:rPr>
      </w:pPr>
    </w:p>
    <w:tbl>
      <w:tblPr>
        <w:tblStyle w:val="Tabelraster"/>
        <w:tblW w:w="13892" w:type="dxa"/>
        <w:tblInd w:w="137" w:type="dxa"/>
        <w:tblLook w:val="04A0" w:firstRow="1" w:lastRow="0" w:firstColumn="1" w:lastColumn="0" w:noHBand="0" w:noVBand="1"/>
      </w:tblPr>
      <w:tblGrid>
        <w:gridCol w:w="13892"/>
      </w:tblGrid>
      <w:tr w:rsidR="00044D1B" w14:paraId="0E9AD1BA" w14:textId="77777777" w:rsidTr="00795CE0">
        <w:tc>
          <w:tcPr>
            <w:tcW w:w="13892" w:type="dxa"/>
          </w:tcPr>
          <w:p w14:paraId="20839C0C" w14:textId="77777777" w:rsidR="00044D1B" w:rsidRDefault="00044D1B" w:rsidP="00044D1B">
            <w:pPr>
              <w:spacing w:after="0"/>
              <w:rPr>
                <w:rFonts w:asciiTheme="minorHAnsi" w:hAnsiTheme="minorHAnsi" w:cstheme="minorHAnsi"/>
                <w:b/>
                <w:bCs/>
              </w:rPr>
            </w:pPr>
            <w:r w:rsidRPr="001662C2">
              <w:rPr>
                <w:rFonts w:asciiTheme="minorHAnsi" w:hAnsiTheme="minorHAnsi" w:cstheme="minorHAnsi"/>
                <w:b/>
                <w:bCs/>
              </w:rPr>
              <w:t xml:space="preserve">Omschrijf hoe u met de </w:t>
            </w:r>
            <w:r w:rsidRPr="0028345A">
              <w:rPr>
                <w:rFonts w:asciiTheme="minorHAnsi" w:hAnsiTheme="minorHAnsi" w:cstheme="minorHAnsi"/>
                <w:b/>
                <w:bCs/>
                <w:u w:val="single"/>
              </w:rPr>
              <w:t>btw</w:t>
            </w:r>
            <w:r w:rsidRPr="001662C2">
              <w:rPr>
                <w:rFonts w:asciiTheme="minorHAnsi" w:hAnsiTheme="minorHAnsi" w:cstheme="minorHAnsi"/>
                <w:b/>
                <w:bCs/>
              </w:rPr>
              <w:t xml:space="preserve"> in onderstaande begroting bent omgegaan:</w:t>
            </w:r>
          </w:p>
          <w:p w14:paraId="0232BE6B" w14:textId="77777777" w:rsidR="00C73B60" w:rsidRDefault="00C73B60" w:rsidP="00044D1B">
            <w:pPr>
              <w:spacing w:after="0"/>
              <w:rPr>
                <w:rFonts w:asciiTheme="minorHAnsi" w:hAnsiTheme="minorHAnsi" w:cstheme="minorHAnsi"/>
                <w:b/>
                <w:bCs/>
              </w:rPr>
            </w:pPr>
          </w:p>
          <w:p w14:paraId="666E1DC8" w14:textId="77777777" w:rsidR="00C73B60" w:rsidRPr="001662C2" w:rsidRDefault="00C73B60" w:rsidP="00795CE0">
            <w:pPr>
              <w:spacing w:after="0"/>
              <w:ind w:left="166" w:hanging="166"/>
              <w:rPr>
                <w:rFonts w:asciiTheme="minorHAnsi" w:hAnsiTheme="minorHAnsi" w:cstheme="minorHAnsi"/>
                <w:b/>
                <w:bCs/>
              </w:rPr>
            </w:pPr>
          </w:p>
          <w:p w14:paraId="6428DC5D" w14:textId="77777777" w:rsidR="00044D1B" w:rsidRPr="001662C2" w:rsidRDefault="00044D1B" w:rsidP="0052240A">
            <w:pPr>
              <w:spacing w:after="0"/>
              <w:rPr>
                <w:rFonts w:asciiTheme="minorHAnsi" w:hAnsiTheme="minorHAnsi" w:cstheme="minorHAnsi"/>
                <w:b/>
                <w:bCs/>
              </w:rPr>
            </w:pPr>
          </w:p>
        </w:tc>
      </w:tr>
      <w:tr w:rsidR="0052240A" w14:paraId="508CBECF" w14:textId="77777777" w:rsidTr="00795CE0">
        <w:tc>
          <w:tcPr>
            <w:tcW w:w="13892" w:type="dxa"/>
          </w:tcPr>
          <w:p w14:paraId="10B7385E" w14:textId="106D5E3F" w:rsidR="00044D1B" w:rsidRPr="00044D1B" w:rsidRDefault="00044D1B" w:rsidP="00F3395F">
            <w:pPr>
              <w:spacing w:after="0"/>
              <w:rPr>
                <w:rFonts w:asciiTheme="minorHAnsi" w:hAnsiTheme="minorHAnsi" w:cstheme="minorHAnsi"/>
                <w:b/>
                <w:bCs/>
                <w:sz w:val="20"/>
                <w:szCs w:val="20"/>
              </w:rPr>
            </w:pPr>
            <w:r w:rsidRPr="00044D1B">
              <w:rPr>
                <w:rFonts w:asciiTheme="minorHAnsi" w:hAnsiTheme="minorHAnsi" w:cstheme="minorHAnsi"/>
                <w:b/>
                <w:bCs/>
                <w:sz w:val="20"/>
                <w:szCs w:val="20"/>
              </w:rPr>
              <w:t>Toelichting</w:t>
            </w:r>
          </w:p>
          <w:p w14:paraId="5750886D" w14:textId="77777777" w:rsidR="00044D1B" w:rsidRPr="00044D1B" w:rsidRDefault="00044D1B" w:rsidP="00044D1B">
            <w:pPr>
              <w:numPr>
                <w:ilvl w:val="0"/>
                <w:numId w:val="19"/>
              </w:numPr>
              <w:spacing w:after="0" w:line="240" w:lineRule="auto"/>
              <w:rPr>
                <w:rFonts w:eastAsia="Times New Roman"/>
                <w:sz w:val="20"/>
                <w:szCs w:val="20"/>
              </w:rPr>
            </w:pPr>
            <w:r w:rsidRPr="00044D1B">
              <w:rPr>
                <w:rFonts w:eastAsia="Times New Roman"/>
                <w:sz w:val="20"/>
                <w:szCs w:val="20"/>
              </w:rPr>
              <w:t>Ben je geen ondernemer of ben je een van btw vrijgesteld ondernemer? Btw terugvragen is dan niet mogelijk. Stel de begroting op </w:t>
            </w:r>
            <w:r w:rsidRPr="00044D1B">
              <w:rPr>
                <w:rFonts w:eastAsia="Times New Roman"/>
                <w:b/>
                <w:bCs/>
                <w:sz w:val="20"/>
                <w:szCs w:val="20"/>
              </w:rPr>
              <w:t>inclusief</w:t>
            </w:r>
            <w:r w:rsidRPr="00044D1B">
              <w:rPr>
                <w:rFonts w:eastAsia="Times New Roman"/>
                <w:sz w:val="20"/>
                <w:szCs w:val="20"/>
              </w:rPr>
              <w:t> btw. De subsidieverlening is dan ook inclusief btw. Als je materialen aanschaft of personeel inhuurt en daarover btw betaalt, kun je het bedrag inclusief btw meenemen als kosten in jouw subsidieaanvraag. Over kosten waarbij btw niet van toepassing is, zoals bijvoorbeeld loonkosten van eigen personeel, neem je de totale kosten </w:t>
            </w:r>
            <w:r w:rsidRPr="00044D1B">
              <w:rPr>
                <w:rFonts w:eastAsia="Times New Roman"/>
                <w:b/>
                <w:bCs/>
                <w:sz w:val="20"/>
                <w:szCs w:val="20"/>
              </w:rPr>
              <w:t>exclusief</w:t>
            </w:r>
            <w:r w:rsidRPr="00044D1B">
              <w:rPr>
                <w:rFonts w:eastAsia="Times New Roman"/>
                <w:sz w:val="20"/>
                <w:szCs w:val="20"/>
              </w:rPr>
              <w:t> btw mee in uw subsidieaanvraag.</w:t>
            </w:r>
          </w:p>
          <w:p w14:paraId="244A46D9" w14:textId="0DE7BE6A" w:rsidR="0052240A" w:rsidRPr="00044D1B" w:rsidRDefault="00044D1B" w:rsidP="00F3395F">
            <w:pPr>
              <w:numPr>
                <w:ilvl w:val="0"/>
                <w:numId w:val="19"/>
              </w:numPr>
              <w:spacing w:after="0" w:line="240" w:lineRule="auto"/>
              <w:rPr>
                <w:rFonts w:eastAsia="Times New Roman"/>
                <w:sz w:val="20"/>
                <w:szCs w:val="20"/>
              </w:rPr>
            </w:pPr>
            <w:r w:rsidRPr="00044D1B">
              <w:rPr>
                <w:rFonts w:eastAsia="Times New Roman"/>
                <w:sz w:val="20"/>
                <w:szCs w:val="20"/>
              </w:rPr>
              <w:t>Ben je btw-plichtig ondernemer? Stel de begroting dan </w:t>
            </w:r>
            <w:r w:rsidRPr="00044D1B">
              <w:rPr>
                <w:rFonts w:eastAsia="Times New Roman"/>
                <w:b/>
                <w:bCs/>
                <w:sz w:val="20"/>
                <w:szCs w:val="20"/>
              </w:rPr>
              <w:t>exclusief</w:t>
            </w:r>
            <w:r w:rsidRPr="00044D1B">
              <w:rPr>
                <w:rFonts w:eastAsia="Times New Roman"/>
                <w:sz w:val="20"/>
                <w:szCs w:val="20"/>
              </w:rPr>
              <w:t> btw op, omdat je als ondernemer btw kan terugvragen. De subsidieverlening is dan ook exclusief btw.</w:t>
            </w:r>
          </w:p>
        </w:tc>
      </w:tr>
    </w:tbl>
    <w:p w14:paraId="4B12C52D" w14:textId="77777777" w:rsidR="00F3395F" w:rsidRDefault="00F3395F" w:rsidP="00F3395F">
      <w:pPr>
        <w:spacing w:after="0"/>
        <w:rPr>
          <w:rFonts w:asciiTheme="minorHAnsi" w:hAnsiTheme="minorHAnsi" w:cstheme="minorHAnsi"/>
          <w:b/>
          <w:bCs/>
        </w:rPr>
      </w:pPr>
    </w:p>
    <w:p w14:paraId="353B494F" w14:textId="77777777" w:rsidR="00C73B60" w:rsidRDefault="00C73B60" w:rsidP="00F3395F">
      <w:pPr>
        <w:spacing w:after="0"/>
        <w:rPr>
          <w:rFonts w:asciiTheme="minorHAnsi" w:hAnsiTheme="minorHAnsi" w:cstheme="minorHAnsi"/>
          <w:b/>
          <w:bCs/>
        </w:rPr>
      </w:pPr>
    </w:p>
    <w:p w14:paraId="5F8944D5" w14:textId="68429FD6" w:rsidR="00DF420C" w:rsidRDefault="004D1283" w:rsidP="00F3395F">
      <w:pPr>
        <w:spacing w:after="0"/>
        <w:rPr>
          <w:rFonts w:asciiTheme="minorHAnsi" w:hAnsiTheme="minorHAnsi" w:cstheme="minorHAnsi"/>
          <w:b/>
          <w:bCs/>
        </w:rPr>
      </w:pPr>
      <w:r>
        <w:rPr>
          <w:rFonts w:asciiTheme="minorHAnsi" w:hAnsiTheme="minorHAnsi" w:cstheme="minorHAnsi"/>
          <w:b/>
          <w:bCs/>
        </w:rPr>
        <w:t xml:space="preserve">Indien u meer </w:t>
      </w:r>
      <w:r w:rsidR="005471E4">
        <w:rPr>
          <w:rFonts w:asciiTheme="minorHAnsi" w:hAnsiTheme="minorHAnsi" w:cstheme="minorHAnsi"/>
          <w:b/>
          <w:bCs/>
        </w:rPr>
        <w:t>begrotings</w:t>
      </w:r>
      <w:r>
        <w:rPr>
          <w:rFonts w:asciiTheme="minorHAnsi" w:hAnsiTheme="minorHAnsi" w:cstheme="minorHAnsi"/>
          <w:b/>
          <w:bCs/>
        </w:rPr>
        <w:t>regels nodig heeft, dan kunt u deze zelf toevoegen.</w:t>
      </w:r>
    </w:p>
    <w:p w14:paraId="53B67A32" w14:textId="3ADAC19D" w:rsidR="00917247" w:rsidRPr="00746AF9" w:rsidRDefault="00811867" w:rsidP="00F3395F">
      <w:pPr>
        <w:spacing w:after="0"/>
        <w:rPr>
          <w:rFonts w:asciiTheme="minorHAnsi" w:hAnsiTheme="minorHAnsi" w:cstheme="minorHAnsi"/>
        </w:rPr>
      </w:pPr>
      <w:r w:rsidRPr="00746AF9">
        <w:rPr>
          <w:rFonts w:asciiTheme="minorHAnsi" w:hAnsiTheme="minorHAnsi" w:cstheme="minorHAnsi"/>
        </w:rPr>
        <w:t xml:space="preserve">Hieronder wordt op de volgende manier verwezen naar de </w:t>
      </w:r>
      <w:r w:rsidR="00917247" w:rsidRPr="00746AF9">
        <w:rPr>
          <w:rFonts w:asciiTheme="minorHAnsi" w:hAnsiTheme="minorHAnsi" w:cstheme="minorHAnsi"/>
        </w:rPr>
        <w:t xml:space="preserve">Subsidieregeling </w:t>
      </w:r>
      <w:r w:rsidRPr="00746AF9">
        <w:rPr>
          <w:rFonts w:asciiTheme="minorHAnsi" w:hAnsiTheme="minorHAnsi" w:cstheme="minorHAnsi"/>
        </w:rPr>
        <w:t>Ketenaanpak Valpreventie 2026: SR VP 2026</w:t>
      </w:r>
    </w:p>
    <w:p w14:paraId="1E98CFB9" w14:textId="77777777" w:rsidR="00CE0F6B" w:rsidRDefault="00CE0F6B" w:rsidP="00F3395F">
      <w:pPr>
        <w:spacing w:after="0"/>
        <w:rPr>
          <w:rFonts w:asciiTheme="minorHAnsi" w:hAnsiTheme="minorHAnsi" w:cstheme="minorHAnsi"/>
          <w:i/>
          <w:iCs/>
        </w:rPr>
      </w:pPr>
    </w:p>
    <w:p w14:paraId="410D89D9" w14:textId="77777777" w:rsidR="00CE0F6B" w:rsidRDefault="00CE0F6B" w:rsidP="00F3395F">
      <w:pPr>
        <w:spacing w:after="0"/>
        <w:rPr>
          <w:rFonts w:asciiTheme="minorHAnsi" w:hAnsiTheme="minorHAnsi" w:cstheme="minorHAnsi"/>
          <w:i/>
          <w:iCs/>
        </w:rPr>
      </w:pPr>
    </w:p>
    <w:p w14:paraId="0149B8EB" w14:textId="77777777" w:rsidR="00CE0F6B" w:rsidRDefault="00CE0F6B" w:rsidP="00F3395F">
      <w:pPr>
        <w:spacing w:after="0"/>
        <w:rPr>
          <w:rFonts w:asciiTheme="minorHAnsi" w:hAnsiTheme="minorHAnsi" w:cstheme="minorHAnsi"/>
          <w:i/>
          <w:iCs/>
        </w:rPr>
      </w:pPr>
    </w:p>
    <w:p w14:paraId="4D3C30D6" w14:textId="77777777" w:rsidR="00CE0F6B" w:rsidRPr="00811867" w:rsidRDefault="00CE0F6B" w:rsidP="00F3395F">
      <w:pPr>
        <w:spacing w:after="0"/>
        <w:rPr>
          <w:rFonts w:asciiTheme="minorHAnsi" w:hAnsiTheme="minorHAnsi" w:cstheme="minorHAnsi"/>
          <w:i/>
          <w:iCs/>
        </w:rPr>
      </w:pPr>
    </w:p>
    <w:p w14:paraId="606256C9" w14:textId="77777777" w:rsidR="00F125A7" w:rsidRDefault="00F125A7" w:rsidP="00F3395F">
      <w:pPr>
        <w:spacing w:after="0"/>
        <w:rPr>
          <w:rFonts w:asciiTheme="minorHAnsi" w:hAnsiTheme="minorHAnsi" w:cstheme="minorHAnsi"/>
          <w:b/>
          <w:bCs/>
        </w:rPr>
      </w:pPr>
    </w:p>
    <w:tbl>
      <w:tblPr>
        <w:tblStyle w:val="Tabelraster"/>
        <w:tblW w:w="14053" w:type="dxa"/>
        <w:tblInd w:w="137" w:type="dxa"/>
        <w:tblLook w:val="04A0" w:firstRow="1" w:lastRow="0" w:firstColumn="1" w:lastColumn="0" w:noHBand="0" w:noVBand="1"/>
      </w:tblPr>
      <w:tblGrid>
        <w:gridCol w:w="924"/>
        <w:gridCol w:w="4302"/>
        <w:gridCol w:w="5405"/>
        <w:gridCol w:w="3422"/>
      </w:tblGrid>
      <w:tr w:rsidR="006522BA" w:rsidRPr="00FD01AE" w14:paraId="05F71815" w14:textId="77777777" w:rsidTr="005F4DC8">
        <w:tc>
          <w:tcPr>
            <w:tcW w:w="14053" w:type="dxa"/>
            <w:gridSpan w:val="4"/>
            <w:shd w:val="clear" w:color="auto" w:fill="FBE4D5" w:themeFill="accent2" w:themeFillTint="33"/>
          </w:tcPr>
          <w:p w14:paraId="4860C61E" w14:textId="4CE55F20" w:rsidR="006522BA" w:rsidRPr="00FD01AE" w:rsidRDefault="006522BA" w:rsidP="006522BA">
            <w:pPr>
              <w:jc w:val="center"/>
              <w:rPr>
                <w:b/>
                <w:bCs/>
              </w:rPr>
            </w:pPr>
            <w:r>
              <w:rPr>
                <w:b/>
                <w:bCs/>
              </w:rPr>
              <w:lastRenderedPageBreak/>
              <w:t>Begroting</w:t>
            </w:r>
          </w:p>
        </w:tc>
      </w:tr>
      <w:tr w:rsidR="00043286" w:rsidRPr="00FD01AE" w14:paraId="57A33DB2" w14:textId="77777777" w:rsidTr="005F4DC8">
        <w:tc>
          <w:tcPr>
            <w:tcW w:w="14053" w:type="dxa"/>
            <w:gridSpan w:val="4"/>
            <w:shd w:val="clear" w:color="auto" w:fill="FBE4D5" w:themeFill="accent2" w:themeFillTint="33"/>
          </w:tcPr>
          <w:p w14:paraId="41899EF0" w14:textId="4292433C" w:rsidR="00043286" w:rsidRPr="00FD01AE" w:rsidRDefault="00043286" w:rsidP="00692E4D">
            <w:pPr>
              <w:rPr>
                <w:b/>
                <w:bCs/>
              </w:rPr>
            </w:pPr>
            <w:r>
              <w:rPr>
                <w:b/>
                <w:bCs/>
              </w:rPr>
              <w:t>Activiteitenkosten</w:t>
            </w:r>
            <w:r w:rsidR="0057186E">
              <w:rPr>
                <w:b/>
                <w:bCs/>
              </w:rPr>
              <w:t xml:space="preserve"> (artikel 8</w:t>
            </w:r>
            <w:r w:rsidR="008917C1">
              <w:rPr>
                <w:b/>
                <w:bCs/>
              </w:rPr>
              <w:t xml:space="preserve"> lid a van de SR VP 2026)</w:t>
            </w:r>
            <w:r>
              <w:rPr>
                <w:b/>
                <w:bCs/>
              </w:rPr>
              <w:t xml:space="preserve">: </w:t>
            </w:r>
            <w:r w:rsidRPr="007A7435">
              <w:t xml:space="preserve">kosten die direct en onlosmakelijk verbonden zijn aan de activiteit; </w:t>
            </w:r>
            <w:r>
              <w:t xml:space="preserve">zijnde </w:t>
            </w:r>
            <w:r w:rsidRPr="007A7435">
              <w:t xml:space="preserve">communicatiekosten (drukwerk, website, folders etc.), </w:t>
            </w:r>
            <w:r w:rsidRPr="00127299">
              <w:t>licentiekosten</w:t>
            </w:r>
            <w:r w:rsidRPr="007A7435">
              <w:t>, huur van externe locatie specifiek bedoeld voor de activiteiten, koffie en thee (alleen in het kader van activiteiten zoals benoemd in ar</w:t>
            </w:r>
            <w:r>
              <w:t>t.</w:t>
            </w:r>
            <w:r w:rsidRPr="007A7435">
              <w:t xml:space="preserve"> 3)</w:t>
            </w:r>
            <w:r w:rsidR="00C73B60">
              <w:t>.</w:t>
            </w:r>
          </w:p>
        </w:tc>
      </w:tr>
      <w:tr w:rsidR="00521066" w:rsidRPr="00FD01AE" w14:paraId="0683EA12" w14:textId="77777777" w:rsidTr="005F4DC8">
        <w:tc>
          <w:tcPr>
            <w:tcW w:w="924" w:type="dxa"/>
            <w:shd w:val="clear" w:color="auto" w:fill="FBE4D5" w:themeFill="accent2" w:themeFillTint="33"/>
          </w:tcPr>
          <w:p w14:paraId="64B060BE" w14:textId="77777777" w:rsidR="00521066" w:rsidRPr="00FD01AE" w:rsidRDefault="00521066" w:rsidP="00692E4D">
            <w:pPr>
              <w:rPr>
                <w:b/>
                <w:bCs/>
              </w:rPr>
            </w:pPr>
          </w:p>
        </w:tc>
        <w:tc>
          <w:tcPr>
            <w:tcW w:w="4302" w:type="dxa"/>
            <w:shd w:val="clear" w:color="auto" w:fill="FBE4D5" w:themeFill="accent2" w:themeFillTint="33"/>
          </w:tcPr>
          <w:p w14:paraId="5D7C41B2" w14:textId="20C36F78" w:rsidR="00521066" w:rsidRDefault="00521066" w:rsidP="00E23EC8">
            <w:pPr>
              <w:rPr>
                <w:b/>
                <w:bCs/>
              </w:rPr>
            </w:pPr>
            <w:r>
              <w:rPr>
                <w:b/>
                <w:bCs/>
              </w:rPr>
              <w:t>Activiteitenkosten</w:t>
            </w:r>
          </w:p>
        </w:tc>
        <w:tc>
          <w:tcPr>
            <w:tcW w:w="5405" w:type="dxa"/>
            <w:shd w:val="clear" w:color="auto" w:fill="FBE4D5" w:themeFill="accent2" w:themeFillTint="33"/>
          </w:tcPr>
          <w:p w14:paraId="02F1405B" w14:textId="288E9F70" w:rsidR="00521066" w:rsidRDefault="0073195B" w:rsidP="00E23EC8">
            <w:pPr>
              <w:rPr>
                <w:b/>
                <w:bCs/>
              </w:rPr>
            </w:pPr>
            <w:r>
              <w:rPr>
                <w:b/>
                <w:bCs/>
              </w:rPr>
              <w:t>Onderbouwing</w:t>
            </w:r>
          </w:p>
        </w:tc>
        <w:tc>
          <w:tcPr>
            <w:tcW w:w="3422" w:type="dxa"/>
            <w:shd w:val="clear" w:color="auto" w:fill="FBE4D5" w:themeFill="accent2" w:themeFillTint="33"/>
          </w:tcPr>
          <w:p w14:paraId="7C3E8BBE" w14:textId="18FB8DBC" w:rsidR="00521066" w:rsidRPr="00FD01AE" w:rsidRDefault="00521066" w:rsidP="00692E4D">
            <w:pPr>
              <w:rPr>
                <w:b/>
                <w:bCs/>
              </w:rPr>
            </w:pPr>
            <w:r w:rsidRPr="00FD01AE">
              <w:rPr>
                <w:b/>
                <w:bCs/>
              </w:rPr>
              <w:t>Begrote kosten</w:t>
            </w:r>
            <w:r>
              <w:rPr>
                <w:b/>
                <w:bCs/>
              </w:rPr>
              <w:t xml:space="preserve"> (</w:t>
            </w:r>
            <w:r w:rsidR="00FC0DB6">
              <w:rPr>
                <w:b/>
                <w:bCs/>
              </w:rPr>
              <w:t>hele euro’s</w:t>
            </w:r>
            <w:r>
              <w:rPr>
                <w:b/>
                <w:bCs/>
              </w:rPr>
              <w:t>)</w:t>
            </w:r>
          </w:p>
        </w:tc>
      </w:tr>
      <w:tr w:rsidR="006522BA" w14:paraId="1AE5BD94" w14:textId="77777777" w:rsidTr="005F4DC8">
        <w:tc>
          <w:tcPr>
            <w:tcW w:w="924" w:type="dxa"/>
          </w:tcPr>
          <w:p w14:paraId="73639812" w14:textId="77777777" w:rsidR="006522BA" w:rsidRDefault="006522BA" w:rsidP="00692E4D">
            <w:r>
              <w:t>1</w:t>
            </w:r>
          </w:p>
        </w:tc>
        <w:tc>
          <w:tcPr>
            <w:tcW w:w="4302" w:type="dxa"/>
          </w:tcPr>
          <w:p w14:paraId="4ECDDE74" w14:textId="77777777" w:rsidR="006522BA" w:rsidRDefault="006522BA" w:rsidP="00692E4D"/>
        </w:tc>
        <w:tc>
          <w:tcPr>
            <w:tcW w:w="5405" w:type="dxa"/>
          </w:tcPr>
          <w:p w14:paraId="4ADBE1FB" w14:textId="77777777" w:rsidR="006522BA" w:rsidRDefault="006522BA" w:rsidP="00692E4D"/>
        </w:tc>
        <w:tc>
          <w:tcPr>
            <w:tcW w:w="3422" w:type="dxa"/>
          </w:tcPr>
          <w:p w14:paraId="70792BDA" w14:textId="77777777" w:rsidR="006522BA" w:rsidRDefault="006522BA" w:rsidP="00692E4D"/>
        </w:tc>
      </w:tr>
      <w:tr w:rsidR="006522BA" w14:paraId="2232770A" w14:textId="77777777" w:rsidTr="005F4DC8">
        <w:tc>
          <w:tcPr>
            <w:tcW w:w="924" w:type="dxa"/>
          </w:tcPr>
          <w:p w14:paraId="7AA6A98F" w14:textId="77777777" w:rsidR="006522BA" w:rsidRDefault="006522BA" w:rsidP="00692E4D">
            <w:r>
              <w:t>2</w:t>
            </w:r>
          </w:p>
        </w:tc>
        <w:tc>
          <w:tcPr>
            <w:tcW w:w="4302" w:type="dxa"/>
          </w:tcPr>
          <w:p w14:paraId="66C3C823" w14:textId="77777777" w:rsidR="006522BA" w:rsidRDefault="006522BA" w:rsidP="00692E4D"/>
        </w:tc>
        <w:tc>
          <w:tcPr>
            <w:tcW w:w="5405" w:type="dxa"/>
          </w:tcPr>
          <w:p w14:paraId="7FE1C3D9" w14:textId="77777777" w:rsidR="006522BA" w:rsidRDefault="006522BA" w:rsidP="00692E4D"/>
        </w:tc>
        <w:tc>
          <w:tcPr>
            <w:tcW w:w="3422" w:type="dxa"/>
          </w:tcPr>
          <w:p w14:paraId="13235392" w14:textId="77777777" w:rsidR="006522BA" w:rsidRDefault="006522BA" w:rsidP="00692E4D"/>
        </w:tc>
      </w:tr>
      <w:tr w:rsidR="00043286" w:rsidRPr="00521066" w14:paraId="68A982C4" w14:textId="77777777" w:rsidTr="005F4DC8">
        <w:tc>
          <w:tcPr>
            <w:tcW w:w="14053" w:type="dxa"/>
            <w:gridSpan w:val="4"/>
            <w:shd w:val="clear" w:color="auto" w:fill="FBE4D5" w:themeFill="accent2" w:themeFillTint="33"/>
          </w:tcPr>
          <w:p w14:paraId="1BA6CA3F" w14:textId="4A14FA0A" w:rsidR="00043286" w:rsidRPr="00521066" w:rsidRDefault="00043286" w:rsidP="00692E4D">
            <w:pPr>
              <w:rPr>
                <w:b/>
                <w:bCs/>
              </w:rPr>
            </w:pPr>
            <w:r>
              <w:rPr>
                <w:b/>
                <w:bCs/>
              </w:rPr>
              <w:t>Afschrijvingskosten</w:t>
            </w:r>
            <w:r w:rsidR="00311AEF">
              <w:rPr>
                <w:b/>
                <w:bCs/>
              </w:rPr>
              <w:t xml:space="preserve"> (artikel 8 lid b van de SR VP 2026)</w:t>
            </w:r>
            <w:r>
              <w:rPr>
                <w:b/>
                <w:bCs/>
              </w:rPr>
              <w:t xml:space="preserve">: </w:t>
            </w:r>
            <w:r w:rsidRPr="007A7435">
              <w:t>kosten die in verband staan met afschrijving op aanschafkosten van materialen (zoals materialen specifiek bedoeld voor uitvoering van de activiteiten zoals benoemd in artikel 3)</w:t>
            </w:r>
            <w:r>
              <w:t xml:space="preserve"> die</w:t>
            </w:r>
            <w:r w:rsidRPr="007A7435">
              <w:t xml:space="preserve"> op generlei wijze geheel dan wel gedeeltelijk gedekt kunnen worden op basis van eerder verkregen subsidies</w:t>
            </w:r>
            <w:r w:rsidR="00C73B60">
              <w:t>.</w:t>
            </w:r>
          </w:p>
        </w:tc>
      </w:tr>
      <w:tr w:rsidR="0024081F" w:rsidRPr="00521066" w14:paraId="479F65E9" w14:textId="77777777" w:rsidTr="005F4DC8">
        <w:tc>
          <w:tcPr>
            <w:tcW w:w="924" w:type="dxa"/>
            <w:shd w:val="clear" w:color="auto" w:fill="FBE4D5" w:themeFill="accent2" w:themeFillTint="33"/>
          </w:tcPr>
          <w:p w14:paraId="726E03EB" w14:textId="77777777" w:rsidR="0024081F" w:rsidRPr="00521066" w:rsidRDefault="0024081F" w:rsidP="0024081F">
            <w:pPr>
              <w:rPr>
                <w:b/>
                <w:bCs/>
              </w:rPr>
            </w:pPr>
          </w:p>
        </w:tc>
        <w:tc>
          <w:tcPr>
            <w:tcW w:w="4302" w:type="dxa"/>
            <w:shd w:val="clear" w:color="auto" w:fill="FBE4D5" w:themeFill="accent2" w:themeFillTint="33"/>
          </w:tcPr>
          <w:p w14:paraId="01994C68" w14:textId="190E58AC" w:rsidR="0024081F" w:rsidRPr="00521066" w:rsidRDefault="0024081F" w:rsidP="0024081F">
            <w:pPr>
              <w:rPr>
                <w:b/>
                <w:bCs/>
              </w:rPr>
            </w:pPr>
            <w:r w:rsidRPr="00521066">
              <w:rPr>
                <w:b/>
                <w:bCs/>
              </w:rPr>
              <w:t>Afschrijvingskosten</w:t>
            </w:r>
          </w:p>
        </w:tc>
        <w:tc>
          <w:tcPr>
            <w:tcW w:w="5405" w:type="dxa"/>
            <w:shd w:val="clear" w:color="auto" w:fill="FBE4D5" w:themeFill="accent2" w:themeFillTint="33"/>
          </w:tcPr>
          <w:p w14:paraId="7114D2F9" w14:textId="17D187DB" w:rsidR="0024081F" w:rsidRPr="00521066" w:rsidRDefault="0024081F" w:rsidP="0024081F">
            <w:pPr>
              <w:rPr>
                <w:b/>
                <w:bCs/>
              </w:rPr>
            </w:pPr>
            <w:r>
              <w:rPr>
                <w:b/>
                <w:bCs/>
              </w:rPr>
              <w:t>Onderbouwing</w:t>
            </w:r>
          </w:p>
        </w:tc>
        <w:tc>
          <w:tcPr>
            <w:tcW w:w="3422" w:type="dxa"/>
            <w:shd w:val="clear" w:color="auto" w:fill="FBE4D5" w:themeFill="accent2" w:themeFillTint="33"/>
          </w:tcPr>
          <w:p w14:paraId="46EE8634" w14:textId="5C55A756" w:rsidR="0024081F" w:rsidRPr="00521066" w:rsidRDefault="0024081F" w:rsidP="0024081F">
            <w:pPr>
              <w:rPr>
                <w:b/>
                <w:bCs/>
              </w:rPr>
            </w:pPr>
            <w:r w:rsidRPr="00FD01AE">
              <w:rPr>
                <w:b/>
                <w:bCs/>
              </w:rPr>
              <w:t>Begrote kosten</w:t>
            </w:r>
            <w:r>
              <w:rPr>
                <w:b/>
                <w:bCs/>
              </w:rPr>
              <w:t xml:space="preserve"> (hele euro’s)</w:t>
            </w:r>
          </w:p>
        </w:tc>
      </w:tr>
      <w:tr w:rsidR="0024081F" w14:paraId="0EFD6CE7" w14:textId="77777777" w:rsidTr="005F4DC8">
        <w:tc>
          <w:tcPr>
            <w:tcW w:w="924" w:type="dxa"/>
          </w:tcPr>
          <w:p w14:paraId="6DB0A789" w14:textId="725EB7D6" w:rsidR="0024081F" w:rsidRDefault="0024081F" w:rsidP="0024081F">
            <w:r>
              <w:t>1</w:t>
            </w:r>
          </w:p>
        </w:tc>
        <w:tc>
          <w:tcPr>
            <w:tcW w:w="4302" w:type="dxa"/>
          </w:tcPr>
          <w:p w14:paraId="2D18299B" w14:textId="77777777" w:rsidR="0024081F" w:rsidRDefault="0024081F" w:rsidP="0024081F"/>
        </w:tc>
        <w:tc>
          <w:tcPr>
            <w:tcW w:w="5405" w:type="dxa"/>
          </w:tcPr>
          <w:p w14:paraId="1300FC73" w14:textId="77777777" w:rsidR="0024081F" w:rsidRDefault="0024081F" w:rsidP="0024081F"/>
        </w:tc>
        <w:tc>
          <w:tcPr>
            <w:tcW w:w="3422" w:type="dxa"/>
          </w:tcPr>
          <w:p w14:paraId="27E172CA" w14:textId="77777777" w:rsidR="0024081F" w:rsidRDefault="0024081F" w:rsidP="0024081F"/>
        </w:tc>
      </w:tr>
      <w:tr w:rsidR="0024081F" w14:paraId="3529B92C" w14:textId="77777777" w:rsidTr="005F4DC8">
        <w:tc>
          <w:tcPr>
            <w:tcW w:w="924" w:type="dxa"/>
          </w:tcPr>
          <w:p w14:paraId="662F6A8D" w14:textId="36BF805C" w:rsidR="0024081F" w:rsidRDefault="0024081F" w:rsidP="0024081F">
            <w:r>
              <w:t>2</w:t>
            </w:r>
          </w:p>
        </w:tc>
        <w:tc>
          <w:tcPr>
            <w:tcW w:w="4302" w:type="dxa"/>
          </w:tcPr>
          <w:p w14:paraId="44179F27" w14:textId="77777777" w:rsidR="0024081F" w:rsidRDefault="0024081F" w:rsidP="0024081F"/>
        </w:tc>
        <w:tc>
          <w:tcPr>
            <w:tcW w:w="5405" w:type="dxa"/>
          </w:tcPr>
          <w:p w14:paraId="594185A4" w14:textId="77777777" w:rsidR="0024081F" w:rsidRDefault="0024081F" w:rsidP="0024081F"/>
        </w:tc>
        <w:tc>
          <w:tcPr>
            <w:tcW w:w="3422" w:type="dxa"/>
          </w:tcPr>
          <w:p w14:paraId="41B0C2B0" w14:textId="77777777" w:rsidR="0024081F" w:rsidRDefault="0024081F" w:rsidP="0024081F"/>
        </w:tc>
      </w:tr>
      <w:tr w:rsidR="0024081F" w:rsidRPr="00521066" w14:paraId="3C829B7D" w14:textId="77777777" w:rsidTr="005F4DC8">
        <w:tc>
          <w:tcPr>
            <w:tcW w:w="14053" w:type="dxa"/>
            <w:gridSpan w:val="4"/>
            <w:shd w:val="clear" w:color="auto" w:fill="FBE4D5" w:themeFill="accent2" w:themeFillTint="33"/>
          </w:tcPr>
          <w:p w14:paraId="02DB9227" w14:textId="278C8AB0" w:rsidR="0024081F" w:rsidRPr="00521066" w:rsidRDefault="0024081F" w:rsidP="0024081F">
            <w:pPr>
              <w:rPr>
                <w:b/>
                <w:bCs/>
              </w:rPr>
            </w:pPr>
            <w:r>
              <w:rPr>
                <w:b/>
                <w:bCs/>
              </w:rPr>
              <w:t>Personele kosten</w:t>
            </w:r>
            <w:r w:rsidR="0079442F">
              <w:rPr>
                <w:b/>
                <w:bCs/>
              </w:rPr>
              <w:t xml:space="preserve"> (artikel 8 lid c van de SR VP 2026)</w:t>
            </w:r>
            <w:r>
              <w:rPr>
                <w:b/>
                <w:bCs/>
              </w:rPr>
              <w:t xml:space="preserve">: </w:t>
            </w:r>
            <w:r w:rsidRPr="007A7435">
              <w:t>kosten voor zover deze direct en onlosmakelijk verbonden zijn aan de coördinatie van de ketenaanpak, de samenwerking en het maken van samenwerkingsafspraken, deelname aan periodiek partneroverleg, en uitvoering van bijbehorende activiteiten</w:t>
            </w:r>
            <w:r>
              <w:t>,</w:t>
            </w:r>
            <w:r w:rsidRPr="007A7435">
              <w:t xml:space="preserve"> </w:t>
            </w:r>
            <w:r w:rsidRPr="00F27392">
              <w:t>die op generlei wijze geheel dan wel gedeeltelijk gedekt kunnen worden op basis van eerder verkregen subsidies en andere landelijke wetgeving op het gebied van sociale zekerheid</w:t>
            </w:r>
            <w:r w:rsidR="00C73B60">
              <w:t>.</w:t>
            </w:r>
          </w:p>
        </w:tc>
      </w:tr>
      <w:tr w:rsidR="0024081F" w:rsidRPr="00521066" w14:paraId="5F1687E7" w14:textId="77777777" w:rsidTr="005F4DC8">
        <w:tc>
          <w:tcPr>
            <w:tcW w:w="924" w:type="dxa"/>
            <w:shd w:val="clear" w:color="auto" w:fill="FBE4D5" w:themeFill="accent2" w:themeFillTint="33"/>
          </w:tcPr>
          <w:p w14:paraId="20F1F70E" w14:textId="77777777" w:rsidR="0024081F" w:rsidRPr="00521066" w:rsidRDefault="0024081F" w:rsidP="0024081F">
            <w:pPr>
              <w:rPr>
                <w:b/>
                <w:bCs/>
              </w:rPr>
            </w:pPr>
          </w:p>
        </w:tc>
        <w:tc>
          <w:tcPr>
            <w:tcW w:w="4302" w:type="dxa"/>
            <w:shd w:val="clear" w:color="auto" w:fill="FBE4D5" w:themeFill="accent2" w:themeFillTint="33"/>
          </w:tcPr>
          <w:p w14:paraId="7D9F9BB7" w14:textId="7E55F521" w:rsidR="0024081F" w:rsidRPr="00521066" w:rsidRDefault="0024081F" w:rsidP="0024081F">
            <w:pPr>
              <w:rPr>
                <w:b/>
                <w:bCs/>
              </w:rPr>
            </w:pPr>
            <w:r w:rsidRPr="00521066">
              <w:rPr>
                <w:b/>
                <w:bCs/>
              </w:rPr>
              <w:t>Personele kosten</w:t>
            </w:r>
            <w:r>
              <w:rPr>
                <w:b/>
                <w:bCs/>
              </w:rPr>
              <w:t xml:space="preserve"> – eigen personeel</w:t>
            </w:r>
          </w:p>
        </w:tc>
        <w:tc>
          <w:tcPr>
            <w:tcW w:w="5405" w:type="dxa"/>
            <w:shd w:val="clear" w:color="auto" w:fill="FBE4D5" w:themeFill="accent2" w:themeFillTint="33"/>
          </w:tcPr>
          <w:p w14:paraId="6F25AE31" w14:textId="43CA90C0" w:rsidR="0024081F" w:rsidRPr="00521066" w:rsidRDefault="0024081F" w:rsidP="0024081F">
            <w:pPr>
              <w:rPr>
                <w:b/>
                <w:bCs/>
              </w:rPr>
            </w:pPr>
            <w:r>
              <w:rPr>
                <w:b/>
                <w:bCs/>
              </w:rPr>
              <w:t>Onderbouwing</w:t>
            </w:r>
          </w:p>
        </w:tc>
        <w:tc>
          <w:tcPr>
            <w:tcW w:w="3422" w:type="dxa"/>
            <w:shd w:val="clear" w:color="auto" w:fill="FBE4D5" w:themeFill="accent2" w:themeFillTint="33"/>
          </w:tcPr>
          <w:p w14:paraId="1398919A" w14:textId="4D1FDCC8" w:rsidR="0024081F" w:rsidRPr="00521066" w:rsidRDefault="0024081F" w:rsidP="0024081F">
            <w:pPr>
              <w:rPr>
                <w:b/>
                <w:bCs/>
              </w:rPr>
            </w:pPr>
            <w:r w:rsidRPr="00FD01AE">
              <w:rPr>
                <w:b/>
                <w:bCs/>
              </w:rPr>
              <w:t>Begrote kosten</w:t>
            </w:r>
            <w:r>
              <w:rPr>
                <w:b/>
                <w:bCs/>
              </w:rPr>
              <w:t xml:space="preserve"> (hele euro’s)</w:t>
            </w:r>
          </w:p>
        </w:tc>
      </w:tr>
      <w:tr w:rsidR="0024081F" w14:paraId="28D7C79E" w14:textId="77777777" w:rsidTr="005F4DC8">
        <w:tc>
          <w:tcPr>
            <w:tcW w:w="924" w:type="dxa"/>
          </w:tcPr>
          <w:p w14:paraId="459ECFE2" w14:textId="4808A9E6" w:rsidR="0024081F" w:rsidRDefault="0024081F" w:rsidP="0024081F">
            <w:bookmarkStart w:id="0" w:name="_Hlk206745432"/>
            <w:r>
              <w:t>1</w:t>
            </w:r>
          </w:p>
        </w:tc>
        <w:tc>
          <w:tcPr>
            <w:tcW w:w="4302" w:type="dxa"/>
          </w:tcPr>
          <w:p w14:paraId="7899D835" w14:textId="77777777" w:rsidR="0024081F" w:rsidRDefault="0024081F" w:rsidP="0024081F"/>
        </w:tc>
        <w:tc>
          <w:tcPr>
            <w:tcW w:w="5405" w:type="dxa"/>
          </w:tcPr>
          <w:p w14:paraId="4108518E" w14:textId="77777777" w:rsidR="0024081F" w:rsidRDefault="0024081F" w:rsidP="0024081F"/>
        </w:tc>
        <w:tc>
          <w:tcPr>
            <w:tcW w:w="3422" w:type="dxa"/>
          </w:tcPr>
          <w:p w14:paraId="772D886D" w14:textId="77777777" w:rsidR="0024081F" w:rsidRDefault="0024081F" w:rsidP="0024081F"/>
        </w:tc>
      </w:tr>
      <w:tr w:rsidR="0024081F" w14:paraId="361468E3" w14:textId="77777777" w:rsidTr="005F4DC8">
        <w:tc>
          <w:tcPr>
            <w:tcW w:w="924" w:type="dxa"/>
          </w:tcPr>
          <w:p w14:paraId="1930A82D" w14:textId="0F6AC9CE" w:rsidR="0024081F" w:rsidRDefault="0024081F" w:rsidP="0024081F">
            <w:r>
              <w:lastRenderedPageBreak/>
              <w:t>2</w:t>
            </w:r>
          </w:p>
        </w:tc>
        <w:tc>
          <w:tcPr>
            <w:tcW w:w="4302" w:type="dxa"/>
          </w:tcPr>
          <w:p w14:paraId="7AB0873B" w14:textId="77777777" w:rsidR="0024081F" w:rsidRDefault="0024081F" w:rsidP="0024081F"/>
        </w:tc>
        <w:tc>
          <w:tcPr>
            <w:tcW w:w="5405" w:type="dxa"/>
          </w:tcPr>
          <w:p w14:paraId="6140EE2C" w14:textId="77777777" w:rsidR="0024081F" w:rsidRDefault="0024081F" w:rsidP="0024081F"/>
        </w:tc>
        <w:tc>
          <w:tcPr>
            <w:tcW w:w="3422" w:type="dxa"/>
          </w:tcPr>
          <w:p w14:paraId="12FE050C" w14:textId="77777777" w:rsidR="0024081F" w:rsidRDefault="0024081F" w:rsidP="0024081F"/>
        </w:tc>
      </w:tr>
      <w:bookmarkEnd w:id="0"/>
      <w:tr w:rsidR="0024081F" w:rsidRPr="00FC0DB6" w14:paraId="0F8C8F39" w14:textId="77777777" w:rsidTr="005F4DC8">
        <w:tc>
          <w:tcPr>
            <w:tcW w:w="924" w:type="dxa"/>
            <w:shd w:val="clear" w:color="auto" w:fill="FBE4D5" w:themeFill="accent2" w:themeFillTint="33"/>
          </w:tcPr>
          <w:p w14:paraId="1F1DCD35" w14:textId="77777777" w:rsidR="0024081F" w:rsidRPr="00FC0DB6" w:rsidRDefault="0024081F" w:rsidP="0024081F">
            <w:pPr>
              <w:rPr>
                <w:b/>
                <w:bCs/>
              </w:rPr>
            </w:pPr>
          </w:p>
        </w:tc>
        <w:tc>
          <w:tcPr>
            <w:tcW w:w="4302" w:type="dxa"/>
            <w:shd w:val="clear" w:color="auto" w:fill="FBE4D5" w:themeFill="accent2" w:themeFillTint="33"/>
          </w:tcPr>
          <w:p w14:paraId="555637F4" w14:textId="0F1367C7" w:rsidR="0024081F" w:rsidRPr="00FC0DB6" w:rsidRDefault="0024081F" w:rsidP="0024081F">
            <w:pPr>
              <w:rPr>
                <w:b/>
                <w:bCs/>
              </w:rPr>
            </w:pPr>
            <w:r>
              <w:rPr>
                <w:b/>
                <w:bCs/>
              </w:rPr>
              <w:t>Personele kosten – inhuur van personeel</w:t>
            </w:r>
          </w:p>
        </w:tc>
        <w:tc>
          <w:tcPr>
            <w:tcW w:w="5405" w:type="dxa"/>
            <w:shd w:val="clear" w:color="auto" w:fill="FBE4D5" w:themeFill="accent2" w:themeFillTint="33"/>
          </w:tcPr>
          <w:p w14:paraId="67AD7357" w14:textId="5BA44872" w:rsidR="0024081F" w:rsidRPr="00FC0DB6" w:rsidRDefault="0024081F" w:rsidP="0024081F">
            <w:pPr>
              <w:rPr>
                <w:b/>
                <w:bCs/>
              </w:rPr>
            </w:pPr>
            <w:r>
              <w:rPr>
                <w:b/>
                <w:bCs/>
              </w:rPr>
              <w:t>Onderbouwing</w:t>
            </w:r>
          </w:p>
        </w:tc>
        <w:tc>
          <w:tcPr>
            <w:tcW w:w="3422" w:type="dxa"/>
            <w:shd w:val="clear" w:color="auto" w:fill="FBE4D5" w:themeFill="accent2" w:themeFillTint="33"/>
          </w:tcPr>
          <w:p w14:paraId="042EB96F" w14:textId="487C1980" w:rsidR="0024081F" w:rsidRPr="00FC0DB6" w:rsidRDefault="0024081F" w:rsidP="0024081F">
            <w:pPr>
              <w:rPr>
                <w:b/>
                <w:bCs/>
              </w:rPr>
            </w:pPr>
            <w:r w:rsidRPr="00FD01AE">
              <w:rPr>
                <w:b/>
                <w:bCs/>
              </w:rPr>
              <w:t>Begrote kosten</w:t>
            </w:r>
            <w:r>
              <w:rPr>
                <w:b/>
                <w:bCs/>
              </w:rPr>
              <w:t xml:space="preserve"> (hele euro’s)</w:t>
            </w:r>
          </w:p>
        </w:tc>
      </w:tr>
      <w:tr w:rsidR="0024081F" w14:paraId="2D8296C4" w14:textId="77777777" w:rsidTr="005F4DC8">
        <w:tc>
          <w:tcPr>
            <w:tcW w:w="924" w:type="dxa"/>
          </w:tcPr>
          <w:p w14:paraId="5F53900E" w14:textId="77777777" w:rsidR="0024081F" w:rsidRDefault="0024081F" w:rsidP="0024081F">
            <w:r>
              <w:t>1</w:t>
            </w:r>
          </w:p>
        </w:tc>
        <w:tc>
          <w:tcPr>
            <w:tcW w:w="4302" w:type="dxa"/>
          </w:tcPr>
          <w:p w14:paraId="23CA5C41" w14:textId="77777777" w:rsidR="0024081F" w:rsidRDefault="0024081F" w:rsidP="0024081F"/>
        </w:tc>
        <w:tc>
          <w:tcPr>
            <w:tcW w:w="5405" w:type="dxa"/>
          </w:tcPr>
          <w:p w14:paraId="2541E40F" w14:textId="77777777" w:rsidR="0024081F" w:rsidRDefault="0024081F" w:rsidP="0024081F"/>
        </w:tc>
        <w:tc>
          <w:tcPr>
            <w:tcW w:w="3422" w:type="dxa"/>
          </w:tcPr>
          <w:p w14:paraId="6BD6E0FF" w14:textId="77777777" w:rsidR="0024081F" w:rsidRDefault="0024081F" w:rsidP="0024081F"/>
        </w:tc>
      </w:tr>
      <w:tr w:rsidR="0024081F" w14:paraId="4804E9E1" w14:textId="77777777" w:rsidTr="005F4DC8">
        <w:tc>
          <w:tcPr>
            <w:tcW w:w="924" w:type="dxa"/>
          </w:tcPr>
          <w:p w14:paraId="05DEA80F" w14:textId="77777777" w:rsidR="0024081F" w:rsidRDefault="0024081F" w:rsidP="0024081F">
            <w:r>
              <w:t>2</w:t>
            </w:r>
          </w:p>
        </w:tc>
        <w:tc>
          <w:tcPr>
            <w:tcW w:w="4302" w:type="dxa"/>
          </w:tcPr>
          <w:p w14:paraId="49E20C88" w14:textId="77777777" w:rsidR="0024081F" w:rsidRDefault="0024081F" w:rsidP="0024081F"/>
        </w:tc>
        <w:tc>
          <w:tcPr>
            <w:tcW w:w="5405" w:type="dxa"/>
          </w:tcPr>
          <w:p w14:paraId="0007A962" w14:textId="77777777" w:rsidR="0024081F" w:rsidRDefault="0024081F" w:rsidP="0024081F"/>
        </w:tc>
        <w:tc>
          <w:tcPr>
            <w:tcW w:w="3422" w:type="dxa"/>
          </w:tcPr>
          <w:p w14:paraId="40F9BE43" w14:textId="77777777" w:rsidR="0024081F" w:rsidRDefault="0024081F" w:rsidP="0024081F"/>
        </w:tc>
      </w:tr>
      <w:tr w:rsidR="0024081F" w:rsidRPr="00FC0DB6" w14:paraId="251955FB" w14:textId="77777777" w:rsidTr="00692E4D">
        <w:tc>
          <w:tcPr>
            <w:tcW w:w="14053" w:type="dxa"/>
            <w:gridSpan w:val="4"/>
            <w:shd w:val="clear" w:color="auto" w:fill="FBE4D5" w:themeFill="accent2" w:themeFillTint="33"/>
          </w:tcPr>
          <w:p w14:paraId="2F77E1AC" w14:textId="7F062582" w:rsidR="0024081F" w:rsidRPr="00FC0DB6" w:rsidRDefault="0024081F" w:rsidP="0024081F">
            <w:pPr>
              <w:rPr>
                <w:b/>
                <w:bCs/>
              </w:rPr>
            </w:pPr>
            <w:r>
              <w:rPr>
                <w:b/>
                <w:bCs/>
              </w:rPr>
              <w:t>Deskundigheidsbevordering</w:t>
            </w:r>
            <w:r w:rsidR="0079442F">
              <w:rPr>
                <w:b/>
                <w:bCs/>
              </w:rPr>
              <w:t xml:space="preserve"> (artikel 8 lid </w:t>
            </w:r>
            <w:r w:rsidR="006304FC">
              <w:rPr>
                <w:b/>
                <w:bCs/>
              </w:rPr>
              <w:t>d</w:t>
            </w:r>
            <w:r w:rsidR="0079442F">
              <w:rPr>
                <w:b/>
                <w:bCs/>
              </w:rPr>
              <w:t xml:space="preserve"> van de SR VP 2026)</w:t>
            </w:r>
            <w:r>
              <w:rPr>
                <w:b/>
                <w:bCs/>
              </w:rPr>
              <w:t xml:space="preserve">: </w:t>
            </w:r>
            <w:r w:rsidRPr="007A7435">
              <w:t>kosten die direct en onlosmakelijk verbonden zijn aan de uitvoering van de activiteit en/of noodzakelijk zijn voor het verkrijgen van specifieke vaardigheden en kennis die nodig zijn voor het uitvoeren van de activiteit die op generlei wijze geheel dan wel gedeeltelijk gedekt kunnen worden uit het opleidingsbudget van de organisatie van subsidieaanvrager</w:t>
            </w:r>
            <w:r>
              <w:t xml:space="preserve"> en eerder verkregen subsidies</w:t>
            </w:r>
            <w:r w:rsidRPr="007A7435">
              <w:t>.</w:t>
            </w:r>
          </w:p>
        </w:tc>
      </w:tr>
      <w:tr w:rsidR="0024081F" w:rsidRPr="00FC0DB6" w14:paraId="046B621E" w14:textId="77777777" w:rsidTr="005F4DC8">
        <w:tc>
          <w:tcPr>
            <w:tcW w:w="924" w:type="dxa"/>
            <w:shd w:val="clear" w:color="auto" w:fill="FBE4D5" w:themeFill="accent2" w:themeFillTint="33"/>
          </w:tcPr>
          <w:p w14:paraId="1BE6DEC4" w14:textId="77777777" w:rsidR="0024081F" w:rsidRPr="00FC0DB6" w:rsidRDefault="0024081F" w:rsidP="0024081F">
            <w:pPr>
              <w:rPr>
                <w:b/>
                <w:bCs/>
              </w:rPr>
            </w:pPr>
          </w:p>
        </w:tc>
        <w:tc>
          <w:tcPr>
            <w:tcW w:w="4302" w:type="dxa"/>
            <w:shd w:val="clear" w:color="auto" w:fill="FBE4D5" w:themeFill="accent2" w:themeFillTint="33"/>
          </w:tcPr>
          <w:p w14:paraId="02FCCBF1" w14:textId="0FBADE14" w:rsidR="0024081F" w:rsidRPr="00FC0DB6" w:rsidRDefault="0024081F" w:rsidP="0024081F">
            <w:pPr>
              <w:rPr>
                <w:b/>
                <w:bCs/>
              </w:rPr>
            </w:pPr>
            <w:r w:rsidRPr="00FC0DB6">
              <w:rPr>
                <w:b/>
                <w:bCs/>
              </w:rPr>
              <w:t>Deskundigheidsbevordering</w:t>
            </w:r>
          </w:p>
        </w:tc>
        <w:tc>
          <w:tcPr>
            <w:tcW w:w="5405" w:type="dxa"/>
            <w:shd w:val="clear" w:color="auto" w:fill="FBE4D5" w:themeFill="accent2" w:themeFillTint="33"/>
          </w:tcPr>
          <w:p w14:paraId="37287BA6" w14:textId="3219DD49" w:rsidR="0024081F" w:rsidRPr="00FC0DB6" w:rsidRDefault="0024081F" w:rsidP="0024081F">
            <w:pPr>
              <w:rPr>
                <w:b/>
                <w:bCs/>
              </w:rPr>
            </w:pPr>
            <w:r>
              <w:rPr>
                <w:b/>
                <w:bCs/>
              </w:rPr>
              <w:t>Onderbouwing</w:t>
            </w:r>
          </w:p>
        </w:tc>
        <w:tc>
          <w:tcPr>
            <w:tcW w:w="3422" w:type="dxa"/>
            <w:shd w:val="clear" w:color="auto" w:fill="FBE4D5" w:themeFill="accent2" w:themeFillTint="33"/>
          </w:tcPr>
          <w:p w14:paraId="271C5165" w14:textId="254AF845" w:rsidR="0024081F" w:rsidRPr="00FC0DB6" w:rsidRDefault="0024081F" w:rsidP="0024081F">
            <w:pPr>
              <w:rPr>
                <w:b/>
                <w:bCs/>
              </w:rPr>
            </w:pPr>
            <w:r w:rsidRPr="00FD01AE">
              <w:rPr>
                <w:b/>
                <w:bCs/>
              </w:rPr>
              <w:t>Begrote kosten</w:t>
            </w:r>
            <w:r>
              <w:rPr>
                <w:b/>
                <w:bCs/>
              </w:rPr>
              <w:t xml:space="preserve"> (hele euro’s)</w:t>
            </w:r>
          </w:p>
        </w:tc>
      </w:tr>
      <w:tr w:rsidR="0024081F" w:rsidRPr="00FC0DB6" w14:paraId="4CBCBA74" w14:textId="77777777" w:rsidTr="005F4DC8">
        <w:tc>
          <w:tcPr>
            <w:tcW w:w="924" w:type="dxa"/>
          </w:tcPr>
          <w:p w14:paraId="3D9F9C76" w14:textId="7F49CAC1" w:rsidR="0024081F" w:rsidRPr="003E307D" w:rsidRDefault="0024081F" w:rsidP="0024081F">
            <w:r w:rsidRPr="003E307D">
              <w:t>1</w:t>
            </w:r>
          </w:p>
        </w:tc>
        <w:tc>
          <w:tcPr>
            <w:tcW w:w="4302" w:type="dxa"/>
          </w:tcPr>
          <w:p w14:paraId="2F421CCE" w14:textId="77777777" w:rsidR="0024081F" w:rsidRPr="003E307D" w:rsidRDefault="0024081F" w:rsidP="0024081F"/>
        </w:tc>
        <w:tc>
          <w:tcPr>
            <w:tcW w:w="5405" w:type="dxa"/>
          </w:tcPr>
          <w:p w14:paraId="1657DEAF" w14:textId="77777777" w:rsidR="0024081F" w:rsidRPr="003E307D" w:rsidRDefault="0024081F" w:rsidP="0024081F"/>
        </w:tc>
        <w:tc>
          <w:tcPr>
            <w:tcW w:w="3422" w:type="dxa"/>
          </w:tcPr>
          <w:p w14:paraId="44069CDE" w14:textId="77777777" w:rsidR="0024081F" w:rsidRPr="003E307D" w:rsidRDefault="0024081F" w:rsidP="0024081F"/>
        </w:tc>
      </w:tr>
      <w:tr w:rsidR="0024081F" w:rsidRPr="00FC0DB6" w14:paraId="115A6BA2" w14:textId="77777777" w:rsidTr="005F4DC8">
        <w:tc>
          <w:tcPr>
            <w:tcW w:w="924" w:type="dxa"/>
          </w:tcPr>
          <w:p w14:paraId="4414A7AA" w14:textId="54DFED7B" w:rsidR="0024081F" w:rsidRPr="003E307D" w:rsidRDefault="0024081F" w:rsidP="0024081F">
            <w:r>
              <w:t>2</w:t>
            </w:r>
          </w:p>
        </w:tc>
        <w:tc>
          <w:tcPr>
            <w:tcW w:w="4302" w:type="dxa"/>
          </w:tcPr>
          <w:p w14:paraId="6770F84D" w14:textId="77777777" w:rsidR="0024081F" w:rsidRPr="003E307D" w:rsidRDefault="0024081F" w:rsidP="0024081F"/>
        </w:tc>
        <w:tc>
          <w:tcPr>
            <w:tcW w:w="5405" w:type="dxa"/>
          </w:tcPr>
          <w:p w14:paraId="73F2901D" w14:textId="77777777" w:rsidR="0024081F" w:rsidRPr="003E307D" w:rsidRDefault="0024081F" w:rsidP="0024081F"/>
        </w:tc>
        <w:tc>
          <w:tcPr>
            <w:tcW w:w="3422" w:type="dxa"/>
          </w:tcPr>
          <w:p w14:paraId="3B8FA930" w14:textId="77777777" w:rsidR="0024081F" w:rsidRPr="003E307D" w:rsidRDefault="0024081F" w:rsidP="0024081F"/>
        </w:tc>
      </w:tr>
      <w:tr w:rsidR="0024081F" w:rsidRPr="00FC0DB6" w14:paraId="240D1D16" w14:textId="77777777" w:rsidTr="00C73B60">
        <w:tc>
          <w:tcPr>
            <w:tcW w:w="924" w:type="dxa"/>
            <w:shd w:val="clear" w:color="auto" w:fill="F4B083" w:themeFill="accent2" w:themeFillTint="99"/>
          </w:tcPr>
          <w:p w14:paraId="177FD899" w14:textId="5783EB6B" w:rsidR="0024081F" w:rsidRPr="0028345A" w:rsidRDefault="0024081F" w:rsidP="0024081F">
            <w:pPr>
              <w:rPr>
                <w:b/>
                <w:bCs/>
              </w:rPr>
            </w:pPr>
            <w:r w:rsidRPr="0028345A">
              <w:rPr>
                <w:b/>
                <w:bCs/>
              </w:rPr>
              <w:t>Totaal</w:t>
            </w:r>
          </w:p>
        </w:tc>
        <w:tc>
          <w:tcPr>
            <w:tcW w:w="4302" w:type="dxa"/>
            <w:shd w:val="clear" w:color="auto" w:fill="F4B083" w:themeFill="accent2" w:themeFillTint="99"/>
          </w:tcPr>
          <w:p w14:paraId="1EA52640" w14:textId="77777777" w:rsidR="0024081F" w:rsidRPr="003E307D" w:rsidRDefault="0024081F" w:rsidP="0024081F"/>
        </w:tc>
        <w:tc>
          <w:tcPr>
            <w:tcW w:w="5405" w:type="dxa"/>
            <w:shd w:val="clear" w:color="auto" w:fill="F4B083" w:themeFill="accent2" w:themeFillTint="99"/>
          </w:tcPr>
          <w:p w14:paraId="40B91DBA" w14:textId="77777777" w:rsidR="0024081F" w:rsidRPr="003E307D" w:rsidRDefault="0024081F" w:rsidP="0024081F"/>
        </w:tc>
        <w:tc>
          <w:tcPr>
            <w:tcW w:w="3422" w:type="dxa"/>
            <w:shd w:val="clear" w:color="auto" w:fill="auto"/>
          </w:tcPr>
          <w:p w14:paraId="18B648A2" w14:textId="77777777" w:rsidR="0024081F" w:rsidRPr="003E307D" w:rsidRDefault="0024081F" w:rsidP="0024081F"/>
        </w:tc>
      </w:tr>
    </w:tbl>
    <w:p w14:paraId="6C5E6C7D" w14:textId="77777777" w:rsidR="00F3395F" w:rsidRDefault="00F3395F" w:rsidP="00F3395F">
      <w:pPr>
        <w:spacing w:after="0"/>
      </w:pPr>
    </w:p>
    <w:p w14:paraId="1911C2EB" w14:textId="77777777" w:rsidR="00EF0EC2" w:rsidRDefault="00EF0EC2" w:rsidP="00F3395F">
      <w:pPr>
        <w:spacing w:after="0"/>
      </w:pPr>
    </w:p>
    <w:tbl>
      <w:tblPr>
        <w:tblStyle w:val="Tabelraster"/>
        <w:tblW w:w="13994" w:type="dxa"/>
        <w:tblInd w:w="137" w:type="dxa"/>
        <w:tblLook w:val="04A0" w:firstRow="1" w:lastRow="0" w:firstColumn="1" w:lastColumn="0" w:noHBand="0" w:noVBand="1"/>
      </w:tblPr>
      <w:tblGrid>
        <w:gridCol w:w="13994"/>
      </w:tblGrid>
      <w:tr w:rsidR="00EF0EC2" w14:paraId="3FD132CF" w14:textId="77777777" w:rsidTr="001B02D7">
        <w:tc>
          <w:tcPr>
            <w:tcW w:w="13994" w:type="dxa"/>
          </w:tcPr>
          <w:p w14:paraId="4C970E20" w14:textId="77777777" w:rsidR="00EF0EC2" w:rsidRPr="00EF0EC2" w:rsidRDefault="00EF0EC2" w:rsidP="00EF0EC2">
            <w:pPr>
              <w:pStyle w:val="OPArtikelTitel"/>
              <w:rPr>
                <w:rFonts w:asciiTheme="minorHAnsi" w:hAnsiTheme="minorHAnsi" w:cstheme="minorHAnsi"/>
                <w:sz w:val="20"/>
              </w:rPr>
            </w:pPr>
            <w:r w:rsidRPr="00EF0EC2">
              <w:rPr>
                <w:rFonts w:asciiTheme="minorHAnsi" w:hAnsiTheme="minorHAnsi" w:cstheme="minorHAnsi"/>
                <w:sz w:val="20"/>
              </w:rPr>
              <w:t>Niet-subsidiabele kosten (artikel 9 van de SR VP 2026)</w:t>
            </w:r>
          </w:p>
          <w:p w14:paraId="5A05C9C6" w14:textId="77777777" w:rsidR="00EF0EC2" w:rsidRPr="00EF0EC2" w:rsidRDefault="00EF0EC2" w:rsidP="00EF0EC2">
            <w:pPr>
              <w:spacing w:after="0" w:line="240" w:lineRule="auto"/>
              <w:rPr>
                <w:rFonts w:asciiTheme="minorHAnsi" w:hAnsiTheme="minorHAnsi" w:cstheme="minorHAnsi"/>
                <w:sz w:val="20"/>
                <w:szCs w:val="20"/>
              </w:rPr>
            </w:pPr>
            <w:r w:rsidRPr="00EF0EC2">
              <w:rPr>
                <w:rFonts w:asciiTheme="minorHAnsi" w:hAnsiTheme="minorHAnsi" w:cstheme="minorHAnsi"/>
                <w:sz w:val="20"/>
                <w:szCs w:val="20"/>
              </w:rPr>
              <w:t>In ieder geval wordt geen subsidie verleend voor:</w:t>
            </w:r>
          </w:p>
          <w:p w14:paraId="2B1A9D34"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t xml:space="preserve">kosten van investeringen van gebruiksvoorwerpen en/of automatisering die langer dan een jaar worden gebruikt en niet specifiek bedoeld zijn voor de uitvoering van activiteiten zoals benoemd in artikel 3, zoals </w:t>
            </w:r>
            <w:proofErr w:type="spellStart"/>
            <w:r w:rsidRPr="00EF0EC2">
              <w:rPr>
                <w:rFonts w:asciiTheme="minorHAnsi" w:hAnsiTheme="minorHAnsi" w:cstheme="minorHAnsi"/>
                <w:sz w:val="20"/>
              </w:rPr>
              <w:t>ict</w:t>
            </w:r>
            <w:proofErr w:type="spellEnd"/>
            <w:r w:rsidRPr="00EF0EC2">
              <w:rPr>
                <w:rFonts w:asciiTheme="minorHAnsi" w:hAnsiTheme="minorHAnsi" w:cstheme="minorHAnsi"/>
                <w:sz w:val="20"/>
              </w:rPr>
              <w:t>-materialen, aanschaf software en hardware; en</w:t>
            </w:r>
          </w:p>
          <w:p w14:paraId="370D996D"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t>kosten verbonden aan groot onderhoud, afschrijvingen op investeringen aangaande het pand en terreinen; en</w:t>
            </w:r>
          </w:p>
          <w:p w14:paraId="1FC3B3A8"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t>eenmalige investeringen die meer dan een jaar worden gebruikt om een product of activiteit op te zetten, die minder dan € 450,- kosten in aanschaf; en</w:t>
            </w:r>
          </w:p>
          <w:p w14:paraId="31CFEB54"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t>kosten van activiteiten waarvoor op grond van de Wet op de omzetbelasting 1968 recht op aftrek van omzetbelasting bestaat, dan wel recht bestaat op compensatie op grond van de Wet op het btw-compensatiefonds; en</w:t>
            </w:r>
          </w:p>
          <w:p w14:paraId="1083D14E"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lastRenderedPageBreak/>
              <w:t>kosten voor het gebruik van eigen huisvesting of interne doorbelasting van ruimten die eigendom zijn van of structureel ter beschikking staan van aanvrager; en</w:t>
            </w:r>
          </w:p>
          <w:p w14:paraId="2C01645F" w14:textId="77777777" w:rsidR="00EF0EC2" w:rsidRPr="00EF0EC2" w:rsidRDefault="00EF0EC2" w:rsidP="00EF0EC2">
            <w:pPr>
              <w:pStyle w:val="OPLid"/>
              <w:numPr>
                <w:ilvl w:val="0"/>
                <w:numId w:val="18"/>
              </w:numPr>
              <w:rPr>
                <w:rFonts w:asciiTheme="minorHAnsi" w:hAnsiTheme="minorHAnsi" w:cstheme="minorHAnsi"/>
                <w:sz w:val="20"/>
              </w:rPr>
            </w:pPr>
            <w:r w:rsidRPr="00EF0EC2">
              <w:rPr>
                <w:rFonts w:asciiTheme="minorHAnsi" w:hAnsiTheme="minorHAnsi" w:cstheme="minorHAnsi"/>
                <w:sz w:val="20"/>
              </w:rPr>
              <w:t>kosten van vervoer van en naar de locaties waar activiteiten plaatsvinden, zowel voor deelnemers als uitvoerders; en</w:t>
            </w:r>
          </w:p>
          <w:p w14:paraId="5CF1B59D" w14:textId="7382D504" w:rsidR="00EF0EC2" w:rsidRDefault="00EF0EC2" w:rsidP="00EF0EC2">
            <w:pPr>
              <w:pStyle w:val="OPLid"/>
              <w:numPr>
                <w:ilvl w:val="0"/>
                <w:numId w:val="18"/>
              </w:numPr>
            </w:pPr>
            <w:r w:rsidRPr="00EF0EC2">
              <w:rPr>
                <w:rFonts w:asciiTheme="minorHAnsi" w:hAnsiTheme="minorHAnsi" w:cstheme="minorHAnsi"/>
                <w:sz w:val="20"/>
              </w:rPr>
              <w:t>activiteiten die voor vergoeding vanuit de Zorgverzekeringswet (</w:t>
            </w:r>
            <w:proofErr w:type="spellStart"/>
            <w:r w:rsidRPr="00EF0EC2">
              <w:rPr>
                <w:rFonts w:asciiTheme="minorHAnsi" w:hAnsiTheme="minorHAnsi" w:cstheme="minorHAnsi"/>
                <w:sz w:val="20"/>
              </w:rPr>
              <w:t>Zvw</w:t>
            </w:r>
            <w:proofErr w:type="spellEnd"/>
            <w:r w:rsidRPr="00EF0EC2">
              <w:rPr>
                <w:rFonts w:asciiTheme="minorHAnsi" w:hAnsiTheme="minorHAnsi" w:cstheme="minorHAnsi"/>
                <w:sz w:val="20"/>
              </w:rPr>
              <w:t>) in aanmerking komen.</w:t>
            </w:r>
          </w:p>
        </w:tc>
      </w:tr>
    </w:tbl>
    <w:p w14:paraId="25006207" w14:textId="77777777" w:rsidR="00EF0EC2" w:rsidRDefault="00EF0EC2" w:rsidP="00F3395F">
      <w:pPr>
        <w:spacing w:after="0"/>
      </w:pPr>
    </w:p>
    <w:p w14:paraId="1E19F456" w14:textId="77777777" w:rsidR="00EF0EC2" w:rsidRDefault="00EF0EC2" w:rsidP="00EF0EC2">
      <w:pPr>
        <w:pStyle w:val="OPLid"/>
      </w:pPr>
    </w:p>
    <w:sectPr w:rsidR="00EF0EC2" w:rsidSect="0059240E">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0883" w14:textId="77777777" w:rsidR="00DE0E0E" w:rsidRDefault="00DE0E0E" w:rsidP="005C66B6">
      <w:pPr>
        <w:spacing w:after="0" w:line="240" w:lineRule="auto"/>
      </w:pPr>
      <w:r>
        <w:separator/>
      </w:r>
    </w:p>
  </w:endnote>
  <w:endnote w:type="continuationSeparator" w:id="0">
    <w:p w14:paraId="18769FDA" w14:textId="77777777" w:rsidR="00DE0E0E" w:rsidRDefault="00DE0E0E" w:rsidP="005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5C66B6" w:rsidRDefault="005C66B6">
    <w:pPr>
      <w:pStyle w:val="Voettekst"/>
      <w:jc w:val="right"/>
    </w:pPr>
    <w:r>
      <w:fldChar w:fldCharType="begin"/>
    </w:r>
    <w:r>
      <w:instrText>PAGE   \* MERGEFORMAT</w:instrText>
    </w:r>
    <w:r>
      <w:fldChar w:fldCharType="separate"/>
    </w:r>
    <w:r w:rsidR="004003F4">
      <w:rPr>
        <w:noProof/>
      </w:rPr>
      <w:t>1</w:t>
    </w:r>
    <w:r>
      <w:fldChar w:fldCharType="end"/>
    </w:r>
  </w:p>
  <w:p w14:paraId="4B1F511A" w14:textId="77777777" w:rsidR="005C66B6" w:rsidRDefault="005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EF25" w14:textId="77777777" w:rsidR="00DE0E0E" w:rsidRDefault="00DE0E0E" w:rsidP="005C66B6">
      <w:pPr>
        <w:spacing w:after="0" w:line="240" w:lineRule="auto"/>
      </w:pPr>
      <w:r>
        <w:separator/>
      </w:r>
    </w:p>
  </w:footnote>
  <w:footnote w:type="continuationSeparator" w:id="0">
    <w:p w14:paraId="5411CCB8" w14:textId="77777777" w:rsidR="00DE0E0E" w:rsidRDefault="00DE0E0E" w:rsidP="005C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52F5" w14:textId="56CC6AD1" w:rsidR="00FF0F7F" w:rsidRDefault="00FF0F7F" w:rsidP="00FF0F7F">
    <w:pPr>
      <w:pStyle w:val="Koptekst"/>
      <w:jc w:val="right"/>
    </w:pPr>
    <w:r w:rsidRPr="0019231A">
      <w:rPr>
        <w:noProof/>
      </w:rPr>
      <w:drawing>
        <wp:inline distT="0" distB="0" distL="0" distR="0" wp14:anchorId="1967FEFF" wp14:editId="2614F642">
          <wp:extent cx="2011680" cy="691515"/>
          <wp:effectExtent l="0" t="0" r="7620" b="0"/>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268"/>
    <w:multiLevelType w:val="hybridMultilevel"/>
    <w:tmpl w:val="422618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B834097"/>
    <w:multiLevelType w:val="hybridMultilevel"/>
    <w:tmpl w:val="5CAE15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506174"/>
    <w:multiLevelType w:val="multilevel"/>
    <w:tmpl w:val="CB8E9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66637"/>
    <w:multiLevelType w:val="hybridMultilevel"/>
    <w:tmpl w:val="974A7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DD2908"/>
    <w:multiLevelType w:val="hybridMultilevel"/>
    <w:tmpl w:val="971443A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E5A665F"/>
    <w:multiLevelType w:val="hybridMultilevel"/>
    <w:tmpl w:val="974A7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81BC6"/>
    <w:multiLevelType w:val="hybridMultilevel"/>
    <w:tmpl w:val="5BCAE900"/>
    <w:lvl w:ilvl="0" w:tplc="E7B6EA56">
      <w:start w:val="4"/>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10D7EE3"/>
    <w:multiLevelType w:val="hybridMultilevel"/>
    <w:tmpl w:val="2F1252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D53EC"/>
    <w:multiLevelType w:val="hybridMultilevel"/>
    <w:tmpl w:val="8BD63D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9C38CD"/>
    <w:multiLevelType w:val="hybridMultilevel"/>
    <w:tmpl w:val="6B1682D6"/>
    <w:lvl w:ilvl="0" w:tplc="E7B6EA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9C23BA"/>
    <w:multiLevelType w:val="hybridMultilevel"/>
    <w:tmpl w:val="4754DC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15317FE"/>
    <w:multiLevelType w:val="hybridMultilevel"/>
    <w:tmpl w:val="F5DEFCFA"/>
    <w:lvl w:ilvl="0" w:tplc="7AB4AD2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5D8204D0"/>
    <w:multiLevelType w:val="hybridMultilevel"/>
    <w:tmpl w:val="49B03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785DEB"/>
    <w:multiLevelType w:val="hybridMultilevel"/>
    <w:tmpl w:val="B39882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6F337E0"/>
    <w:multiLevelType w:val="hybridMultilevel"/>
    <w:tmpl w:val="F58ED4C8"/>
    <w:lvl w:ilvl="0" w:tplc="47306130">
      <w:numFmt w:val="bullet"/>
      <w:lvlText w:val="-"/>
      <w:lvlJc w:val="left"/>
      <w:pPr>
        <w:ind w:left="720" w:hanging="360"/>
      </w:pPr>
      <w:rPr>
        <w:rFonts w:ascii="Calibri" w:eastAsia="Calibri"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1C6700"/>
    <w:multiLevelType w:val="hybridMultilevel"/>
    <w:tmpl w:val="7D521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250EBD"/>
    <w:multiLevelType w:val="hybridMultilevel"/>
    <w:tmpl w:val="056E87CC"/>
    <w:lvl w:ilvl="0" w:tplc="E7CADEA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737DC6"/>
    <w:multiLevelType w:val="hybridMultilevel"/>
    <w:tmpl w:val="09788BB0"/>
    <w:lvl w:ilvl="0" w:tplc="4AD43AC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E067504"/>
    <w:multiLevelType w:val="hybridMultilevel"/>
    <w:tmpl w:val="A4E2F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3194189">
    <w:abstractNumId w:val="8"/>
  </w:num>
  <w:num w:numId="2" w16cid:durableId="1284579021">
    <w:abstractNumId w:val="12"/>
  </w:num>
  <w:num w:numId="3" w16cid:durableId="283119772">
    <w:abstractNumId w:val="0"/>
  </w:num>
  <w:num w:numId="4" w16cid:durableId="370620337">
    <w:abstractNumId w:val="9"/>
  </w:num>
  <w:num w:numId="5" w16cid:durableId="55670960">
    <w:abstractNumId w:val="18"/>
  </w:num>
  <w:num w:numId="6" w16cid:durableId="1190295721">
    <w:abstractNumId w:val="13"/>
  </w:num>
  <w:num w:numId="7" w16cid:durableId="1888179379">
    <w:abstractNumId w:val="10"/>
  </w:num>
  <w:num w:numId="8" w16cid:durableId="226186873">
    <w:abstractNumId w:val="6"/>
  </w:num>
  <w:num w:numId="9" w16cid:durableId="1835798155">
    <w:abstractNumId w:val="7"/>
  </w:num>
  <w:num w:numId="10" w16cid:durableId="1028331977">
    <w:abstractNumId w:val="16"/>
  </w:num>
  <w:num w:numId="11" w16cid:durableId="507985347">
    <w:abstractNumId w:val="4"/>
  </w:num>
  <w:num w:numId="12" w16cid:durableId="1970818187">
    <w:abstractNumId w:val="11"/>
  </w:num>
  <w:num w:numId="13" w16cid:durableId="321084333">
    <w:abstractNumId w:val="3"/>
  </w:num>
  <w:num w:numId="14" w16cid:durableId="291711775">
    <w:abstractNumId w:val="5"/>
  </w:num>
  <w:num w:numId="15" w16cid:durableId="1796367153">
    <w:abstractNumId w:val="17"/>
  </w:num>
  <w:num w:numId="16" w16cid:durableId="1229657593">
    <w:abstractNumId w:val="14"/>
  </w:num>
  <w:num w:numId="17" w16cid:durableId="1591424903">
    <w:abstractNumId w:val="15"/>
  </w:num>
  <w:num w:numId="18" w16cid:durableId="1219973942">
    <w:abstractNumId w:val="1"/>
  </w:num>
  <w:num w:numId="19" w16cid:durableId="85885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0"/>
    <w:rsid w:val="00012448"/>
    <w:rsid w:val="00012A5D"/>
    <w:rsid w:val="0001380B"/>
    <w:rsid w:val="00015A12"/>
    <w:rsid w:val="00022CCB"/>
    <w:rsid w:val="00027DB3"/>
    <w:rsid w:val="000376D0"/>
    <w:rsid w:val="00042417"/>
    <w:rsid w:val="00043286"/>
    <w:rsid w:val="00044D1B"/>
    <w:rsid w:val="000474B5"/>
    <w:rsid w:val="000567D9"/>
    <w:rsid w:val="000573E1"/>
    <w:rsid w:val="00067A7E"/>
    <w:rsid w:val="000C6156"/>
    <w:rsid w:val="000C7BBD"/>
    <w:rsid w:val="000E06F5"/>
    <w:rsid w:val="000E2D41"/>
    <w:rsid w:val="000E31D6"/>
    <w:rsid w:val="000E71FF"/>
    <w:rsid w:val="000F5077"/>
    <w:rsid w:val="00100B46"/>
    <w:rsid w:val="00115EAD"/>
    <w:rsid w:val="00122E17"/>
    <w:rsid w:val="00134B8D"/>
    <w:rsid w:val="00140DDC"/>
    <w:rsid w:val="001422B4"/>
    <w:rsid w:val="00161885"/>
    <w:rsid w:val="001662C2"/>
    <w:rsid w:val="00166F88"/>
    <w:rsid w:val="0017374D"/>
    <w:rsid w:val="00185797"/>
    <w:rsid w:val="00190609"/>
    <w:rsid w:val="0019410C"/>
    <w:rsid w:val="001944EA"/>
    <w:rsid w:val="001A2EAF"/>
    <w:rsid w:val="001A5FD1"/>
    <w:rsid w:val="001A641D"/>
    <w:rsid w:val="001B02D7"/>
    <w:rsid w:val="001B23B7"/>
    <w:rsid w:val="001D120B"/>
    <w:rsid w:val="001D785E"/>
    <w:rsid w:val="001E22F8"/>
    <w:rsid w:val="001F1043"/>
    <w:rsid w:val="001F5E79"/>
    <w:rsid w:val="001F618A"/>
    <w:rsid w:val="001F66E8"/>
    <w:rsid w:val="001F774A"/>
    <w:rsid w:val="00203451"/>
    <w:rsid w:val="00206F45"/>
    <w:rsid w:val="00210CDB"/>
    <w:rsid w:val="00211585"/>
    <w:rsid w:val="00220DF5"/>
    <w:rsid w:val="002257A3"/>
    <w:rsid w:val="0024081F"/>
    <w:rsid w:val="00241B5A"/>
    <w:rsid w:val="0024335A"/>
    <w:rsid w:val="00256084"/>
    <w:rsid w:val="00260CE7"/>
    <w:rsid w:val="00261EC4"/>
    <w:rsid w:val="00262F44"/>
    <w:rsid w:val="00264D0C"/>
    <w:rsid w:val="0028345A"/>
    <w:rsid w:val="00283B4C"/>
    <w:rsid w:val="00292706"/>
    <w:rsid w:val="002A1F35"/>
    <w:rsid w:val="002B0950"/>
    <w:rsid w:val="002B5DEF"/>
    <w:rsid w:val="002B7710"/>
    <w:rsid w:val="002B783C"/>
    <w:rsid w:val="002C3835"/>
    <w:rsid w:val="002C6763"/>
    <w:rsid w:val="002C6ECA"/>
    <w:rsid w:val="002D1B31"/>
    <w:rsid w:val="002D7F1D"/>
    <w:rsid w:val="002E6B16"/>
    <w:rsid w:val="002F2D71"/>
    <w:rsid w:val="002F368E"/>
    <w:rsid w:val="00301E4C"/>
    <w:rsid w:val="0030343D"/>
    <w:rsid w:val="00311AEF"/>
    <w:rsid w:val="00314B37"/>
    <w:rsid w:val="00315871"/>
    <w:rsid w:val="00317856"/>
    <w:rsid w:val="00320264"/>
    <w:rsid w:val="00331B70"/>
    <w:rsid w:val="0035172F"/>
    <w:rsid w:val="00355776"/>
    <w:rsid w:val="00360691"/>
    <w:rsid w:val="003619D8"/>
    <w:rsid w:val="003663C1"/>
    <w:rsid w:val="003716FE"/>
    <w:rsid w:val="00392BD4"/>
    <w:rsid w:val="00393A87"/>
    <w:rsid w:val="003951FA"/>
    <w:rsid w:val="003A1C0E"/>
    <w:rsid w:val="003B11F1"/>
    <w:rsid w:val="003B2E5F"/>
    <w:rsid w:val="003B5FBD"/>
    <w:rsid w:val="003C0623"/>
    <w:rsid w:val="003C26E6"/>
    <w:rsid w:val="003D064B"/>
    <w:rsid w:val="003D3BC7"/>
    <w:rsid w:val="003D5937"/>
    <w:rsid w:val="003E307D"/>
    <w:rsid w:val="003E71BB"/>
    <w:rsid w:val="003F2EA9"/>
    <w:rsid w:val="004003F4"/>
    <w:rsid w:val="00413CD5"/>
    <w:rsid w:val="004148BE"/>
    <w:rsid w:val="00423AA7"/>
    <w:rsid w:val="0042757D"/>
    <w:rsid w:val="00432C97"/>
    <w:rsid w:val="00442742"/>
    <w:rsid w:val="004565B7"/>
    <w:rsid w:val="00462E71"/>
    <w:rsid w:val="004634B7"/>
    <w:rsid w:val="0049025A"/>
    <w:rsid w:val="004902D0"/>
    <w:rsid w:val="00491BCA"/>
    <w:rsid w:val="004924B7"/>
    <w:rsid w:val="0049552F"/>
    <w:rsid w:val="004A3E39"/>
    <w:rsid w:val="004A7687"/>
    <w:rsid w:val="004B07D7"/>
    <w:rsid w:val="004B4853"/>
    <w:rsid w:val="004C27AB"/>
    <w:rsid w:val="004C2B18"/>
    <w:rsid w:val="004C5445"/>
    <w:rsid w:val="004C6C72"/>
    <w:rsid w:val="004D1283"/>
    <w:rsid w:val="004D6E5F"/>
    <w:rsid w:val="004D7AA3"/>
    <w:rsid w:val="004D7CA5"/>
    <w:rsid w:val="004F5465"/>
    <w:rsid w:val="004F7EAB"/>
    <w:rsid w:val="00501295"/>
    <w:rsid w:val="0051086A"/>
    <w:rsid w:val="005164B7"/>
    <w:rsid w:val="0052100D"/>
    <w:rsid w:val="00521066"/>
    <w:rsid w:val="0052240A"/>
    <w:rsid w:val="0052605F"/>
    <w:rsid w:val="005327F4"/>
    <w:rsid w:val="00535C60"/>
    <w:rsid w:val="0054113F"/>
    <w:rsid w:val="00543712"/>
    <w:rsid w:val="005449C7"/>
    <w:rsid w:val="005471E4"/>
    <w:rsid w:val="005531EC"/>
    <w:rsid w:val="00557864"/>
    <w:rsid w:val="0057186E"/>
    <w:rsid w:val="005808FD"/>
    <w:rsid w:val="00585051"/>
    <w:rsid w:val="0058758C"/>
    <w:rsid w:val="0059240E"/>
    <w:rsid w:val="00593AA2"/>
    <w:rsid w:val="00594479"/>
    <w:rsid w:val="005A287D"/>
    <w:rsid w:val="005B1F73"/>
    <w:rsid w:val="005C0E55"/>
    <w:rsid w:val="005C5593"/>
    <w:rsid w:val="005C643A"/>
    <w:rsid w:val="005C66B6"/>
    <w:rsid w:val="005D0980"/>
    <w:rsid w:val="005D0D45"/>
    <w:rsid w:val="005D1D1F"/>
    <w:rsid w:val="005D4784"/>
    <w:rsid w:val="005F3098"/>
    <w:rsid w:val="005F4DC8"/>
    <w:rsid w:val="0060450F"/>
    <w:rsid w:val="006051BC"/>
    <w:rsid w:val="006107F1"/>
    <w:rsid w:val="00613FDD"/>
    <w:rsid w:val="00616F4D"/>
    <w:rsid w:val="00620B5D"/>
    <w:rsid w:val="006304FC"/>
    <w:rsid w:val="00635B43"/>
    <w:rsid w:val="00645473"/>
    <w:rsid w:val="006455C9"/>
    <w:rsid w:val="006522BA"/>
    <w:rsid w:val="00653550"/>
    <w:rsid w:val="00653892"/>
    <w:rsid w:val="00661C62"/>
    <w:rsid w:val="006633F7"/>
    <w:rsid w:val="00664F2E"/>
    <w:rsid w:val="006756C0"/>
    <w:rsid w:val="00685E25"/>
    <w:rsid w:val="006866B7"/>
    <w:rsid w:val="00692E4D"/>
    <w:rsid w:val="00695194"/>
    <w:rsid w:val="00697F28"/>
    <w:rsid w:val="006A61D2"/>
    <w:rsid w:val="006A791C"/>
    <w:rsid w:val="006B1DCB"/>
    <w:rsid w:val="006D0DD4"/>
    <w:rsid w:val="006F5CBF"/>
    <w:rsid w:val="00701DBE"/>
    <w:rsid w:val="0071282E"/>
    <w:rsid w:val="0073195B"/>
    <w:rsid w:val="00740863"/>
    <w:rsid w:val="0074310E"/>
    <w:rsid w:val="00746AF9"/>
    <w:rsid w:val="007517A3"/>
    <w:rsid w:val="00751F8B"/>
    <w:rsid w:val="00754FF5"/>
    <w:rsid w:val="00765BBB"/>
    <w:rsid w:val="00770986"/>
    <w:rsid w:val="00770BB3"/>
    <w:rsid w:val="007845B1"/>
    <w:rsid w:val="00791D93"/>
    <w:rsid w:val="00793E1B"/>
    <w:rsid w:val="0079442F"/>
    <w:rsid w:val="00795CE0"/>
    <w:rsid w:val="007A67BA"/>
    <w:rsid w:val="007A6E8D"/>
    <w:rsid w:val="007A7598"/>
    <w:rsid w:val="007B211A"/>
    <w:rsid w:val="007B6888"/>
    <w:rsid w:val="007B7346"/>
    <w:rsid w:val="007B793A"/>
    <w:rsid w:val="007C2A2F"/>
    <w:rsid w:val="007E10FB"/>
    <w:rsid w:val="007E2629"/>
    <w:rsid w:val="007E7BA0"/>
    <w:rsid w:val="007F46A4"/>
    <w:rsid w:val="008061A7"/>
    <w:rsid w:val="00811867"/>
    <w:rsid w:val="00816FCC"/>
    <w:rsid w:val="00821545"/>
    <w:rsid w:val="00832A37"/>
    <w:rsid w:val="008360B3"/>
    <w:rsid w:val="00842412"/>
    <w:rsid w:val="00846184"/>
    <w:rsid w:val="0084792A"/>
    <w:rsid w:val="00855B4C"/>
    <w:rsid w:val="00855D6B"/>
    <w:rsid w:val="008760B6"/>
    <w:rsid w:val="0087659D"/>
    <w:rsid w:val="00880DB4"/>
    <w:rsid w:val="008917C1"/>
    <w:rsid w:val="00894BAB"/>
    <w:rsid w:val="00894EDF"/>
    <w:rsid w:val="008A324B"/>
    <w:rsid w:val="008B198C"/>
    <w:rsid w:val="008B7233"/>
    <w:rsid w:val="008C466D"/>
    <w:rsid w:val="008C7CCF"/>
    <w:rsid w:val="008C7DD5"/>
    <w:rsid w:val="008D0949"/>
    <w:rsid w:val="008D2475"/>
    <w:rsid w:val="008D2710"/>
    <w:rsid w:val="008D2BEC"/>
    <w:rsid w:val="008D57FC"/>
    <w:rsid w:val="008E5907"/>
    <w:rsid w:val="008E5D35"/>
    <w:rsid w:val="008E7C28"/>
    <w:rsid w:val="008F0927"/>
    <w:rsid w:val="008F3F25"/>
    <w:rsid w:val="008F76D3"/>
    <w:rsid w:val="009002F9"/>
    <w:rsid w:val="00901332"/>
    <w:rsid w:val="00902A3D"/>
    <w:rsid w:val="00904BDF"/>
    <w:rsid w:val="0091125F"/>
    <w:rsid w:val="00917247"/>
    <w:rsid w:val="009267AE"/>
    <w:rsid w:val="00931315"/>
    <w:rsid w:val="00960FD1"/>
    <w:rsid w:val="009615D5"/>
    <w:rsid w:val="009715F8"/>
    <w:rsid w:val="00972BBB"/>
    <w:rsid w:val="00973A6D"/>
    <w:rsid w:val="009745FA"/>
    <w:rsid w:val="00981496"/>
    <w:rsid w:val="00982826"/>
    <w:rsid w:val="00987AC5"/>
    <w:rsid w:val="00993BD6"/>
    <w:rsid w:val="009A1F99"/>
    <w:rsid w:val="009C521D"/>
    <w:rsid w:val="009D2125"/>
    <w:rsid w:val="009F0E02"/>
    <w:rsid w:val="009F4194"/>
    <w:rsid w:val="009F7176"/>
    <w:rsid w:val="00A20EFE"/>
    <w:rsid w:val="00A21064"/>
    <w:rsid w:val="00A27DE9"/>
    <w:rsid w:val="00A40AE0"/>
    <w:rsid w:val="00A52AFD"/>
    <w:rsid w:val="00A52C68"/>
    <w:rsid w:val="00A6725C"/>
    <w:rsid w:val="00A675E6"/>
    <w:rsid w:val="00A74975"/>
    <w:rsid w:val="00A753BF"/>
    <w:rsid w:val="00A82D3D"/>
    <w:rsid w:val="00A92828"/>
    <w:rsid w:val="00A97556"/>
    <w:rsid w:val="00AA3183"/>
    <w:rsid w:val="00AA7EC3"/>
    <w:rsid w:val="00AB60F4"/>
    <w:rsid w:val="00AD3811"/>
    <w:rsid w:val="00AD5D60"/>
    <w:rsid w:val="00AE1592"/>
    <w:rsid w:val="00AF2933"/>
    <w:rsid w:val="00AF45BF"/>
    <w:rsid w:val="00B212F0"/>
    <w:rsid w:val="00B2379C"/>
    <w:rsid w:val="00B238D5"/>
    <w:rsid w:val="00B27F2A"/>
    <w:rsid w:val="00B30B76"/>
    <w:rsid w:val="00B34736"/>
    <w:rsid w:val="00B4166B"/>
    <w:rsid w:val="00B41887"/>
    <w:rsid w:val="00B46B66"/>
    <w:rsid w:val="00B4758A"/>
    <w:rsid w:val="00B52A68"/>
    <w:rsid w:val="00B6132E"/>
    <w:rsid w:val="00B64142"/>
    <w:rsid w:val="00B66041"/>
    <w:rsid w:val="00B675D8"/>
    <w:rsid w:val="00B83108"/>
    <w:rsid w:val="00B843D3"/>
    <w:rsid w:val="00B85B65"/>
    <w:rsid w:val="00BA2B8B"/>
    <w:rsid w:val="00BB1658"/>
    <w:rsid w:val="00BB6D80"/>
    <w:rsid w:val="00BC30F9"/>
    <w:rsid w:val="00BC5666"/>
    <w:rsid w:val="00BD054C"/>
    <w:rsid w:val="00BD0B9E"/>
    <w:rsid w:val="00BE2DD0"/>
    <w:rsid w:val="00BE3D98"/>
    <w:rsid w:val="00BF1001"/>
    <w:rsid w:val="00BF7E27"/>
    <w:rsid w:val="00C01365"/>
    <w:rsid w:val="00C11EC2"/>
    <w:rsid w:val="00C21774"/>
    <w:rsid w:val="00C32A4A"/>
    <w:rsid w:val="00C42AEA"/>
    <w:rsid w:val="00C544A1"/>
    <w:rsid w:val="00C63E50"/>
    <w:rsid w:val="00C70DAC"/>
    <w:rsid w:val="00C73B60"/>
    <w:rsid w:val="00C75AC6"/>
    <w:rsid w:val="00C80EA0"/>
    <w:rsid w:val="00C86618"/>
    <w:rsid w:val="00C916F9"/>
    <w:rsid w:val="00C9195F"/>
    <w:rsid w:val="00C95592"/>
    <w:rsid w:val="00C976B5"/>
    <w:rsid w:val="00CA616E"/>
    <w:rsid w:val="00CC2573"/>
    <w:rsid w:val="00CE0F6B"/>
    <w:rsid w:val="00CE2A06"/>
    <w:rsid w:val="00CE71E7"/>
    <w:rsid w:val="00D13624"/>
    <w:rsid w:val="00D17C4D"/>
    <w:rsid w:val="00D224EF"/>
    <w:rsid w:val="00D2592A"/>
    <w:rsid w:val="00D31FBB"/>
    <w:rsid w:val="00D43036"/>
    <w:rsid w:val="00D431A6"/>
    <w:rsid w:val="00D51D8D"/>
    <w:rsid w:val="00D52C5A"/>
    <w:rsid w:val="00D600BF"/>
    <w:rsid w:val="00D67D80"/>
    <w:rsid w:val="00D8657B"/>
    <w:rsid w:val="00DA1705"/>
    <w:rsid w:val="00DA45DE"/>
    <w:rsid w:val="00DB4284"/>
    <w:rsid w:val="00DE00FD"/>
    <w:rsid w:val="00DE0E0E"/>
    <w:rsid w:val="00DE6092"/>
    <w:rsid w:val="00DF167C"/>
    <w:rsid w:val="00DF3DB5"/>
    <w:rsid w:val="00DF420C"/>
    <w:rsid w:val="00E000FD"/>
    <w:rsid w:val="00E145D5"/>
    <w:rsid w:val="00E2059E"/>
    <w:rsid w:val="00E23EC8"/>
    <w:rsid w:val="00E33542"/>
    <w:rsid w:val="00E359C1"/>
    <w:rsid w:val="00E43AAE"/>
    <w:rsid w:val="00E51238"/>
    <w:rsid w:val="00E52B76"/>
    <w:rsid w:val="00E53B00"/>
    <w:rsid w:val="00E67408"/>
    <w:rsid w:val="00E711B2"/>
    <w:rsid w:val="00E8289D"/>
    <w:rsid w:val="00E85502"/>
    <w:rsid w:val="00E908B4"/>
    <w:rsid w:val="00E908EB"/>
    <w:rsid w:val="00E96ADD"/>
    <w:rsid w:val="00EC4B19"/>
    <w:rsid w:val="00EC6171"/>
    <w:rsid w:val="00ED3707"/>
    <w:rsid w:val="00EE32A9"/>
    <w:rsid w:val="00EF0EC2"/>
    <w:rsid w:val="00EF2A24"/>
    <w:rsid w:val="00EF41BD"/>
    <w:rsid w:val="00EF6656"/>
    <w:rsid w:val="00F0572A"/>
    <w:rsid w:val="00F074DC"/>
    <w:rsid w:val="00F07D53"/>
    <w:rsid w:val="00F125A7"/>
    <w:rsid w:val="00F21506"/>
    <w:rsid w:val="00F2385F"/>
    <w:rsid w:val="00F24220"/>
    <w:rsid w:val="00F249F3"/>
    <w:rsid w:val="00F26044"/>
    <w:rsid w:val="00F3395F"/>
    <w:rsid w:val="00F43E01"/>
    <w:rsid w:val="00F63612"/>
    <w:rsid w:val="00F840A9"/>
    <w:rsid w:val="00FA59D8"/>
    <w:rsid w:val="00FA6C0A"/>
    <w:rsid w:val="00FC0DB6"/>
    <w:rsid w:val="00FC10B9"/>
    <w:rsid w:val="00FC37E7"/>
    <w:rsid w:val="00FC3865"/>
    <w:rsid w:val="00FD01AE"/>
    <w:rsid w:val="00FD6A18"/>
    <w:rsid w:val="00FE1113"/>
    <w:rsid w:val="00FE4D3B"/>
    <w:rsid w:val="00FE64C4"/>
    <w:rsid w:val="00FF0F7F"/>
    <w:rsid w:val="00FF1DC2"/>
    <w:rsid w:val="00FF22D2"/>
    <w:rsid w:val="00FF4EE4"/>
    <w:rsid w:val="0E515588"/>
    <w:rsid w:val="1809D9AA"/>
    <w:rsid w:val="27D03547"/>
    <w:rsid w:val="2BB463FB"/>
    <w:rsid w:val="2E2AF989"/>
    <w:rsid w:val="438096D4"/>
    <w:rsid w:val="4D391AF6"/>
    <w:rsid w:val="4D9945D3"/>
    <w:rsid w:val="4F84E64B"/>
    <w:rsid w:val="54F08AE1"/>
    <w:rsid w:val="5D895269"/>
    <w:rsid w:val="6FA64A8E"/>
    <w:rsid w:val="7DB9B063"/>
    <w:rsid w:val="7F070F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2BD"/>
  <w15:chartTrackingRefBased/>
  <w15:docId w15:val="{BBE0865E-F13D-4771-A85D-AC24A6F0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4DC8"/>
    <w:pPr>
      <w:spacing w:after="200" w:line="276" w:lineRule="auto"/>
    </w:pPr>
    <w:rPr>
      <w:sz w:val="22"/>
      <w:szCs w:val="22"/>
      <w:lang w:eastAsia="en-US"/>
    </w:rPr>
  </w:style>
  <w:style w:type="paragraph" w:styleId="Kop3">
    <w:name w:val="heading 3"/>
    <w:basedOn w:val="Standaard"/>
    <w:next w:val="Standaard"/>
    <w:link w:val="Kop3Char"/>
    <w:uiPriority w:val="9"/>
    <w:semiHidden/>
    <w:unhideWhenUsed/>
    <w:qFormat/>
    <w:rsid w:val="0049552F"/>
    <w:pPr>
      <w:keepNext/>
      <w:keepLines/>
      <w:spacing w:before="40" w:after="0"/>
      <w:outlineLvl w:val="2"/>
    </w:pPr>
    <w:rPr>
      <w:rFonts w:ascii="Arial" w:eastAsiaTheme="majorEastAsia" w:hAnsi="Arial" w:cstheme="majorBidi"/>
      <w:i/>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220"/>
    <w:pPr>
      <w:ind w:left="720"/>
      <w:contextualSpacing/>
    </w:pPr>
  </w:style>
  <w:style w:type="table" w:styleId="Tabelraster">
    <w:name w:val="Table Grid"/>
    <w:basedOn w:val="Standaardtabe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44EA"/>
    <w:pPr>
      <w:spacing w:after="0"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1944EA"/>
    <w:rPr>
      <w:rFonts w:ascii="Segoe UI" w:hAnsi="Segoe UI" w:cs="Segoe UI"/>
      <w:sz w:val="18"/>
      <w:szCs w:val="18"/>
    </w:rPr>
  </w:style>
  <w:style w:type="character" w:styleId="Verwijzingopmerking">
    <w:name w:val="annotation reference"/>
    <w:uiPriority w:val="99"/>
    <w:semiHidden/>
    <w:unhideWhenUsed/>
    <w:rsid w:val="001944EA"/>
    <w:rPr>
      <w:sz w:val="16"/>
      <w:szCs w:val="16"/>
    </w:rPr>
  </w:style>
  <w:style w:type="paragraph" w:styleId="Tekstopmerking">
    <w:name w:val="annotation text"/>
    <w:basedOn w:val="Standaard"/>
    <w:link w:val="TekstopmerkingChar"/>
    <w:uiPriority w:val="99"/>
    <w:semiHidden/>
    <w:unhideWhenUsed/>
    <w:rsid w:val="001944EA"/>
    <w:pPr>
      <w:spacing w:line="240" w:lineRule="auto"/>
    </w:pPr>
    <w:rPr>
      <w:sz w:val="20"/>
      <w:szCs w:val="20"/>
      <w:lang w:val="x-none" w:eastAsia="x-none"/>
    </w:rPr>
  </w:style>
  <w:style w:type="character" w:customStyle="1" w:styleId="TekstopmerkingChar">
    <w:name w:val="Tekst opmerking Char"/>
    <w:link w:val="Tekstopmerking"/>
    <w:uiPriority w:val="99"/>
    <w:semiHidden/>
    <w:rsid w:val="001944EA"/>
    <w:rPr>
      <w:sz w:val="20"/>
      <w:szCs w:val="20"/>
    </w:rPr>
  </w:style>
  <w:style w:type="paragraph" w:styleId="Onderwerpvanopmerking">
    <w:name w:val="annotation subject"/>
    <w:basedOn w:val="Tekstopmerking"/>
    <w:next w:val="Tekstopmerking"/>
    <w:link w:val="OnderwerpvanopmerkingChar"/>
    <w:uiPriority w:val="99"/>
    <w:semiHidden/>
    <w:unhideWhenUsed/>
    <w:rsid w:val="001944EA"/>
    <w:rPr>
      <w:b/>
      <w:bCs/>
    </w:rPr>
  </w:style>
  <w:style w:type="character" w:customStyle="1" w:styleId="OnderwerpvanopmerkingChar">
    <w:name w:val="Onderwerp van opmerking Char"/>
    <w:link w:val="Onderwerpvanopmerking"/>
    <w:uiPriority w:val="99"/>
    <w:semiHidden/>
    <w:rsid w:val="001944EA"/>
    <w:rPr>
      <w:b/>
      <w:bCs/>
      <w:sz w:val="20"/>
      <w:szCs w:val="20"/>
    </w:rPr>
  </w:style>
  <w:style w:type="paragraph" w:styleId="Koptekst">
    <w:name w:val="header"/>
    <w:basedOn w:val="Standaard"/>
    <w:link w:val="KoptekstChar"/>
    <w:uiPriority w:val="99"/>
    <w:unhideWhenUsed/>
    <w:rsid w:val="005C66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6B6"/>
  </w:style>
  <w:style w:type="paragraph" w:styleId="Voettekst">
    <w:name w:val="footer"/>
    <w:basedOn w:val="Standaard"/>
    <w:link w:val="VoettekstChar"/>
    <w:uiPriority w:val="99"/>
    <w:unhideWhenUsed/>
    <w:rsid w:val="005C66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6B6"/>
  </w:style>
  <w:style w:type="paragraph" w:styleId="Geenafstand">
    <w:name w:val="No Spacing"/>
    <w:uiPriority w:val="1"/>
    <w:qFormat/>
    <w:rsid w:val="002E6B16"/>
    <w:rPr>
      <w:sz w:val="22"/>
      <w:szCs w:val="22"/>
      <w:lang w:eastAsia="en-US"/>
    </w:rPr>
  </w:style>
  <w:style w:type="character" w:customStyle="1" w:styleId="Kop3Char">
    <w:name w:val="Kop 3 Char"/>
    <w:basedOn w:val="Standaardalinea-lettertype"/>
    <w:link w:val="Kop3"/>
    <w:uiPriority w:val="9"/>
    <w:semiHidden/>
    <w:rsid w:val="0049552F"/>
    <w:rPr>
      <w:rFonts w:ascii="Arial" w:eastAsiaTheme="majorEastAsia" w:hAnsi="Arial" w:cstheme="majorBidi"/>
      <w:i/>
      <w:szCs w:val="24"/>
      <w:lang w:eastAsia="en-US"/>
    </w:rPr>
  </w:style>
  <w:style w:type="paragraph" w:customStyle="1" w:styleId="OPArtikelTitel">
    <w:name w:val="OP_Artikel_Titel"/>
    <w:next w:val="Standaard"/>
    <w:qFormat/>
    <w:rsid w:val="005F4DC8"/>
    <w:pPr>
      <w:spacing w:before="120"/>
    </w:pPr>
    <w:rPr>
      <w:rFonts w:ascii="Lucida Sans Unicode" w:eastAsia="Times New Roman" w:hAnsi="Lucida Sans Unicode" w:cs="Arial"/>
      <w:b/>
      <w:bCs/>
      <w:sz w:val="22"/>
      <w:lang w:eastAsia="nl-NL"/>
    </w:rPr>
  </w:style>
  <w:style w:type="paragraph" w:customStyle="1" w:styleId="OPLid">
    <w:name w:val="OP_Lid"/>
    <w:basedOn w:val="Standaard"/>
    <w:qFormat/>
    <w:rsid w:val="005F4DC8"/>
    <w:pPr>
      <w:spacing w:before="120" w:after="120" w:line="240" w:lineRule="atLeast"/>
    </w:pPr>
    <w:rPr>
      <w:rFonts w:ascii="Lucida Sans Unicode" w:eastAsia="Times New Roman" w:hAnsi="Lucida Sans Unicode" w:cs="Arial"/>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061">
      <w:bodyDiv w:val="1"/>
      <w:marLeft w:val="0"/>
      <w:marRight w:val="0"/>
      <w:marTop w:val="0"/>
      <w:marBottom w:val="0"/>
      <w:divBdr>
        <w:top w:val="none" w:sz="0" w:space="0" w:color="auto"/>
        <w:left w:val="none" w:sz="0" w:space="0" w:color="auto"/>
        <w:bottom w:val="none" w:sz="0" w:space="0" w:color="auto"/>
        <w:right w:val="none" w:sz="0" w:space="0" w:color="auto"/>
      </w:divBdr>
    </w:div>
    <w:div w:id="3219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2FCE29395DA418004CD93153BECB9" ma:contentTypeVersion="10" ma:contentTypeDescription="Een nieuw document maken." ma:contentTypeScope="" ma:versionID="e928d51f49f40236c909c1f97989f5d0">
  <xsd:schema xmlns:xsd="http://www.w3.org/2001/XMLSchema" xmlns:xs="http://www.w3.org/2001/XMLSchema" xmlns:p="http://schemas.microsoft.com/office/2006/metadata/properties" xmlns:ns2="6abe0896-b240-4c05-8b85-e9102b37f9a7" xmlns:ns3="afb245aa-dee0-4f8c-981b-a1c0944205dd" targetNamespace="http://schemas.microsoft.com/office/2006/metadata/properties" ma:root="true" ma:fieldsID="55ab60805ef71976448bd6cf59a6da93" ns2:_="" ns3:_="">
    <xsd:import namespace="6abe0896-b240-4c05-8b85-e9102b37f9a7"/>
    <xsd:import namespace="afb245aa-dee0-4f8c-981b-a1c09442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896-b240-4c05-8b85-e9102b37f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245aa-dee0-4f8c-981b-a1c0944205d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8FEBC-DBFE-4D46-8FDC-9651EC6E557A}">
  <ds:schemaRefs>
    <ds:schemaRef ds:uri="http://schemas.microsoft.com/sharepoint/v3/contenttype/forms"/>
  </ds:schemaRefs>
</ds:datastoreItem>
</file>

<file path=customXml/itemProps2.xml><?xml version="1.0" encoding="utf-8"?>
<ds:datastoreItem xmlns:ds="http://schemas.openxmlformats.org/officeDocument/2006/customXml" ds:itemID="{19314F98-A273-4AFA-AE26-54566989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0896-b240-4c05-8b85-e9102b37f9a7"/>
    <ds:schemaRef ds:uri="afb245aa-dee0-4f8c-981b-a1c09442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661</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Pieter Winnemuller</cp:lastModifiedBy>
  <cp:revision>16</cp:revision>
  <dcterms:created xsi:type="dcterms:W3CDTF">2025-08-22T09:24:00Z</dcterms:created>
  <dcterms:modified xsi:type="dcterms:W3CDTF">2025-08-29T10:22:00Z</dcterms:modified>
</cp:coreProperties>
</file>