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5C" w:rsidRPr="0050495C" w:rsidRDefault="00824555" w:rsidP="00824555">
      <w:pPr>
        <w:spacing w:after="0"/>
        <w:rPr>
          <w:rFonts w:ascii="Calibri" w:hAnsi="Calibri" w:cs="Arial"/>
          <w:b/>
          <w:lang w:eastAsia="nl-NL"/>
        </w:rPr>
      </w:pPr>
      <w:r w:rsidRPr="0050495C">
        <w:rPr>
          <w:rFonts w:ascii="Calibri" w:hAnsi="Calibri" w:cs="Arial"/>
          <w:b/>
          <w:lang w:eastAsia="nl-NL"/>
        </w:rPr>
        <w:t xml:space="preserve">Vaststellen budgetindicatie per aanbieder </w:t>
      </w:r>
    </w:p>
    <w:p w:rsidR="00793A96" w:rsidRPr="0050495C" w:rsidRDefault="00824555" w:rsidP="00824555">
      <w:pPr>
        <w:spacing w:after="0"/>
        <w:rPr>
          <w:rFonts w:ascii="Calibri" w:hAnsi="Calibri" w:cs="Arial"/>
          <w:b/>
          <w:lang w:eastAsia="nl-NL"/>
        </w:rPr>
      </w:pPr>
      <w:r w:rsidRPr="0050495C">
        <w:rPr>
          <w:rFonts w:ascii="Calibri" w:hAnsi="Calibri" w:cs="Arial"/>
          <w:b/>
          <w:lang w:eastAsia="nl-NL"/>
        </w:rPr>
        <w:t>(</w:t>
      </w:r>
      <w:r w:rsidRPr="0050495C">
        <w:rPr>
          <w:rFonts w:ascii="Calibri" w:hAnsi="Calibri" w:cs="Arial"/>
          <w:b/>
          <w:u w:val="single"/>
          <w:lang w:eastAsia="nl-NL"/>
        </w:rPr>
        <w:t xml:space="preserve">Adviesrapport </w:t>
      </w:r>
      <w:hyperlink r:id="rId5" w:history="1">
        <w:proofErr w:type="spellStart"/>
        <w:r w:rsidRPr="00735C73">
          <w:rPr>
            <w:rStyle w:val="Hyperlink"/>
            <w:rFonts w:ascii="Calibri" w:hAnsi="Calibri" w:cs="Arial"/>
            <w:b/>
            <w:lang w:eastAsia="nl-NL"/>
          </w:rPr>
          <w:t>Adjust</w:t>
        </w:r>
        <w:proofErr w:type="spellEnd"/>
      </w:hyperlink>
      <w:r w:rsidRPr="0050495C">
        <w:rPr>
          <w:rFonts w:ascii="Calibri" w:hAnsi="Calibri" w:cs="Arial"/>
          <w:b/>
          <w:lang w:eastAsia="nl-NL"/>
        </w:rPr>
        <w:t>, Hoofdstuk 4, randvoorwaarde C</w:t>
      </w:r>
      <w:r w:rsidR="0050495C" w:rsidRPr="0050495C">
        <w:rPr>
          <w:rFonts w:ascii="Calibri" w:hAnsi="Calibri" w:cs="Arial"/>
          <w:b/>
          <w:lang w:eastAsia="nl-NL"/>
        </w:rPr>
        <w:t>, p. 16-18</w:t>
      </w:r>
      <w:r w:rsidRPr="0050495C">
        <w:rPr>
          <w:rFonts w:ascii="Calibri" w:hAnsi="Calibri" w:cs="Arial"/>
          <w:b/>
          <w:lang w:eastAsia="nl-NL"/>
        </w:rPr>
        <w:t>)</w:t>
      </w:r>
    </w:p>
    <w:p w:rsidR="0050495C" w:rsidRDefault="0050495C" w:rsidP="0050495C">
      <w:pPr>
        <w:rPr>
          <w:rFonts w:ascii="Calibri" w:hAnsi="Calibri"/>
          <w:b/>
          <w:color w:val="1F497D"/>
          <w:highlight w:val="yellow"/>
        </w:rPr>
      </w:pPr>
    </w:p>
    <w:p w:rsidR="0050495C" w:rsidRPr="0050495C" w:rsidRDefault="0050495C" w:rsidP="0050495C">
      <w:pPr>
        <w:rPr>
          <w:rFonts w:ascii="Calibri" w:hAnsi="Calibri"/>
          <w:b/>
          <w:color w:val="1F497D"/>
        </w:rPr>
      </w:pPr>
      <w:r w:rsidRPr="0050495C">
        <w:rPr>
          <w:rFonts w:ascii="Calibri" w:hAnsi="Calibri"/>
          <w:b/>
          <w:color w:val="1F497D"/>
          <w:highlight w:val="yellow"/>
        </w:rPr>
        <w:t>Workshop 1a: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0" w:name="_MailEndCompose"/>
      <w:bookmarkEnd w:id="0"/>
      <w:r w:rsidRPr="0050495C">
        <w:rPr>
          <w:rFonts w:asciiTheme="minorHAnsi" w:hAnsiTheme="minorHAnsi"/>
          <w:b/>
          <w:bCs/>
          <w:sz w:val="22"/>
          <w:szCs w:val="22"/>
        </w:rPr>
        <w:t>Zorgen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  <w:u w:val="single"/>
        </w:rPr>
        <w:t>Vanuit cli</w:t>
      </w:r>
      <w:r>
        <w:rPr>
          <w:rFonts w:asciiTheme="minorHAnsi" w:hAnsiTheme="minorHAnsi"/>
          <w:sz w:val="22"/>
          <w:szCs w:val="22"/>
          <w:u w:val="single"/>
        </w:rPr>
        <w:t>ë</w:t>
      </w:r>
      <w:r w:rsidRPr="0050495C">
        <w:rPr>
          <w:rFonts w:asciiTheme="minorHAnsi" w:hAnsiTheme="minorHAnsi"/>
          <w:sz w:val="22"/>
          <w:szCs w:val="22"/>
          <w:u w:val="single"/>
        </w:rPr>
        <w:t>ntperspectief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Natuurlijke reactie: Nu al de deur dicht houden?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Naar wie schaal je af en zijn deze bereid en kwalitatief goed?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Aantal cli</w:t>
      </w:r>
      <w:r>
        <w:rPr>
          <w:rFonts w:asciiTheme="minorHAnsi" w:hAnsiTheme="minorHAnsi"/>
          <w:sz w:val="22"/>
          <w:szCs w:val="22"/>
        </w:rPr>
        <w:t>ë</w:t>
      </w:r>
      <w:r w:rsidRPr="0050495C">
        <w:rPr>
          <w:rFonts w:asciiTheme="minorHAnsi" w:hAnsiTheme="minorHAnsi"/>
          <w:sz w:val="22"/>
          <w:szCs w:val="22"/>
        </w:rPr>
        <w:t>nten blijft, die zijn er, vraag cli</w:t>
      </w:r>
      <w:r>
        <w:rPr>
          <w:rFonts w:asciiTheme="minorHAnsi" w:hAnsiTheme="minorHAnsi"/>
          <w:sz w:val="22"/>
          <w:szCs w:val="22"/>
        </w:rPr>
        <w:t>ë</w:t>
      </w:r>
      <w:r w:rsidRPr="0050495C">
        <w:rPr>
          <w:rFonts w:asciiTheme="minorHAnsi" w:hAnsiTheme="minorHAnsi"/>
          <w:sz w:val="22"/>
          <w:szCs w:val="22"/>
        </w:rPr>
        <w:t>nt is niet weg, hoe hier mee om te gaan?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 xml:space="preserve">Vertrouwen in </w:t>
      </w:r>
      <w:proofErr w:type="spellStart"/>
      <w:r w:rsidRPr="0050495C">
        <w:rPr>
          <w:rFonts w:asciiTheme="minorHAnsi" w:hAnsiTheme="minorHAnsi"/>
          <w:sz w:val="22"/>
          <w:szCs w:val="22"/>
        </w:rPr>
        <w:t>WIJ</w:t>
      </w:r>
      <w:r>
        <w:rPr>
          <w:rFonts w:asciiTheme="minorHAnsi" w:hAnsiTheme="minorHAnsi"/>
          <w:sz w:val="22"/>
          <w:szCs w:val="22"/>
        </w:rPr>
        <w:t>e</w:t>
      </w:r>
      <w:r w:rsidRPr="0050495C">
        <w:rPr>
          <w:rFonts w:asciiTheme="minorHAnsi" w:hAnsiTheme="minorHAnsi"/>
          <w:sz w:val="22"/>
          <w:szCs w:val="22"/>
        </w:rPr>
        <w:t>indhoven</w:t>
      </w:r>
      <w:proofErr w:type="spellEnd"/>
      <w:r w:rsidRPr="0050495C">
        <w:rPr>
          <w:rFonts w:asciiTheme="minorHAnsi" w:hAnsiTheme="minorHAnsi"/>
          <w:sz w:val="22"/>
          <w:szCs w:val="22"/>
        </w:rPr>
        <w:t xml:space="preserve"> moet groeien, is er nog niet, vanu</w:t>
      </w:r>
      <w:bookmarkStart w:id="1" w:name="_GoBack"/>
      <w:bookmarkEnd w:id="1"/>
      <w:r w:rsidRPr="0050495C">
        <w:rPr>
          <w:rFonts w:asciiTheme="minorHAnsi" w:hAnsiTheme="minorHAnsi"/>
          <w:sz w:val="22"/>
          <w:szCs w:val="22"/>
        </w:rPr>
        <w:t>it verleden?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Vanuit B aanbieders: volume is al ingeleverd.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Hoe om te gaan met Tr</w:t>
      </w:r>
      <w:r>
        <w:rPr>
          <w:rFonts w:asciiTheme="minorHAnsi" w:hAnsiTheme="minorHAnsi"/>
          <w:sz w:val="22"/>
          <w:szCs w:val="22"/>
        </w:rPr>
        <w:t>ee</w:t>
      </w:r>
      <w:r w:rsidRPr="0050495C">
        <w:rPr>
          <w:rFonts w:asciiTheme="minorHAnsi" w:hAnsiTheme="minorHAnsi"/>
          <w:sz w:val="22"/>
          <w:szCs w:val="22"/>
        </w:rPr>
        <w:t>k-normen?</w:t>
      </w:r>
    </w:p>
    <w:p w:rsidR="0050495C" w:rsidRPr="0050495C" w:rsidRDefault="0050495C" w:rsidP="00B11774">
      <w:pPr>
        <w:pStyle w:val="Norma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 xml:space="preserve">Complexe doelgroepen wisselen in zorgbehoefte, b.v. </w:t>
      </w:r>
      <w:proofErr w:type="spellStart"/>
      <w:r>
        <w:rPr>
          <w:rFonts w:asciiTheme="minorHAnsi" w:hAnsiTheme="minorHAnsi"/>
          <w:sz w:val="22"/>
          <w:szCs w:val="22"/>
        </w:rPr>
        <w:t>z</w:t>
      </w:r>
      <w:r w:rsidRPr="0050495C">
        <w:rPr>
          <w:rFonts w:asciiTheme="minorHAnsi" w:hAnsiTheme="minorHAnsi"/>
          <w:sz w:val="22"/>
          <w:szCs w:val="22"/>
        </w:rPr>
        <w:t>orgmijder</w:t>
      </w:r>
      <w:proofErr w:type="spellEnd"/>
      <w:r w:rsidRPr="0050495C">
        <w:rPr>
          <w:rFonts w:asciiTheme="minorHAnsi" w:hAnsiTheme="minorHAnsi"/>
          <w:sz w:val="22"/>
          <w:szCs w:val="22"/>
        </w:rPr>
        <w:t xml:space="preserve"> etc. Is hier een produc</w:t>
      </w:r>
      <w:r>
        <w:rPr>
          <w:rFonts w:asciiTheme="minorHAnsi" w:hAnsiTheme="minorHAnsi"/>
          <w:sz w:val="22"/>
          <w:szCs w:val="22"/>
        </w:rPr>
        <w:t>t</w:t>
      </w:r>
      <w:r w:rsidRPr="0050495C">
        <w:rPr>
          <w:rFonts w:asciiTheme="minorHAnsi" w:hAnsiTheme="minorHAnsi"/>
          <w:sz w:val="22"/>
          <w:szCs w:val="22"/>
        </w:rPr>
        <w:t>mix voor te maken, waarbij ruimte is om te doen wat nodig is. Nu moet je van het ene product naar het andere gaan, met gaten en onnodige administratieve lasten.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  <w:u w:val="single"/>
        </w:rPr>
        <w:t>Vanuit instelling</w:t>
      </w:r>
    </w:p>
    <w:p w:rsidR="0050495C" w:rsidRPr="0050495C" w:rsidRDefault="0050495C" w:rsidP="00B11774">
      <w:pPr>
        <w:pStyle w:val="Norma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Afromen en doorsturen naar specialistische zorg binnen een product is afgelopen jaren gebeur</w:t>
      </w:r>
      <w:r w:rsidR="00B11774">
        <w:rPr>
          <w:rFonts w:asciiTheme="minorHAnsi" w:hAnsiTheme="minorHAnsi"/>
          <w:sz w:val="22"/>
          <w:szCs w:val="22"/>
        </w:rPr>
        <w:t>d</w:t>
      </w:r>
      <w:r w:rsidRPr="0050495C">
        <w:rPr>
          <w:rFonts w:asciiTheme="minorHAnsi" w:hAnsiTheme="minorHAnsi"/>
          <w:sz w:val="22"/>
          <w:szCs w:val="22"/>
        </w:rPr>
        <w:t>.</w:t>
      </w:r>
    </w:p>
    <w:p w:rsidR="0050495C" w:rsidRPr="0050495C" w:rsidRDefault="0050495C" w:rsidP="00B11774">
      <w:pPr>
        <w:pStyle w:val="Norma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50/60 kinderen zijn wettelijk overgekomen, deze groei is niet op initiatief van gespecialiseerde aanbieders tot stand te komen, hoe wordt hier mee omgegaan</w:t>
      </w:r>
      <w:r w:rsidR="00B11774">
        <w:rPr>
          <w:rFonts w:asciiTheme="minorHAnsi" w:hAnsiTheme="minorHAnsi"/>
          <w:sz w:val="22"/>
          <w:szCs w:val="22"/>
        </w:rPr>
        <w:t>?</w:t>
      </w:r>
    </w:p>
    <w:p w:rsidR="0050495C" w:rsidRPr="0050495C" w:rsidRDefault="0050495C" w:rsidP="00B11774">
      <w:pPr>
        <w:pStyle w:val="Norma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We missen keuzes op doelgroepen: eerder is geadviseerd om te kiezen voor de meest kwetsbare en de aanbieders die daarbij horen.</w:t>
      </w:r>
    </w:p>
    <w:p w:rsidR="0050495C" w:rsidRPr="0050495C" w:rsidRDefault="0050495C" w:rsidP="00B11774">
      <w:pPr>
        <w:pStyle w:val="Norma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Rekenmodel voor budgetplafond is te generiek, eerder is gepleit voor specifieke maatregelen.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b/>
          <w:bCs/>
          <w:sz w:val="22"/>
          <w:szCs w:val="22"/>
        </w:rPr>
        <w:t>Gemeenschappelijk advies 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F108CC">
      <w:pPr>
        <w:pStyle w:val="Norma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Maak onderscheid in plafond per aanbieder tussen waar aanbieder wel invloed heeft op volume en waar aanbieder geen invloed heeft op volume.</w:t>
      </w:r>
    </w:p>
    <w:p w:rsidR="0050495C" w:rsidRPr="0050495C" w:rsidRDefault="0050495C" w:rsidP="00F108CC">
      <w:pPr>
        <w:pStyle w:val="Norma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D.w.z.</w:t>
      </w:r>
    </w:p>
    <w:p w:rsidR="0050495C" w:rsidRPr="0050495C" w:rsidRDefault="0050495C" w:rsidP="00F108CC">
      <w:pPr>
        <w:pStyle w:val="Norma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Rekening houden met B variant en de afbouw die daar al heeft plaatsgevonden</w:t>
      </w:r>
    </w:p>
    <w:p w:rsidR="0050495C" w:rsidRPr="0050495C" w:rsidRDefault="0050495C" w:rsidP="00F108CC">
      <w:pPr>
        <w:pStyle w:val="Norma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Rekening houden met wettelijke overhevelingen die groei verklaren.</w:t>
      </w:r>
    </w:p>
    <w:p w:rsidR="0050495C" w:rsidRPr="0050495C" w:rsidRDefault="0050495C" w:rsidP="00F108CC">
      <w:pPr>
        <w:pStyle w:val="Norma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Rekening houden met toegang WLZ (hekje om deze doelgroep)</w:t>
      </w:r>
    </w:p>
    <w:p w:rsidR="0050495C" w:rsidRPr="0050495C" w:rsidRDefault="0050495C" w:rsidP="00F108CC">
      <w:pPr>
        <w:pStyle w:val="Normaalweb"/>
        <w:numPr>
          <w:ilvl w:val="1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Rekening houden met instroom uit WLZ/LGGZ </w:t>
      </w:r>
    </w:p>
    <w:p w:rsidR="0050495C" w:rsidRDefault="0050495C" w:rsidP="00F108CC">
      <w:pPr>
        <w:pStyle w:val="Normaalweb"/>
        <w:numPr>
          <w:ilvl w:val="1"/>
          <w:numId w:val="10"/>
        </w:numPr>
        <w:spacing w:before="0" w:beforeAutospacing="0" w:after="0" w:afterAutospacing="0"/>
        <w:ind w:left="1437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Rekening houden met zwaarte doelgroep die verschilt per aanbieder binnen het product.</w:t>
      </w:r>
    </w:p>
    <w:p w:rsidR="00F108CC" w:rsidRDefault="0050495C" w:rsidP="00F108CC">
      <w:pPr>
        <w:pStyle w:val="Norma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 xml:space="preserve">Kritisch zijn op taken en functioneren </w:t>
      </w:r>
      <w:proofErr w:type="spellStart"/>
      <w:r w:rsidRPr="0050495C">
        <w:rPr>
          <w:rFonts w:asciiTheme="minorHAnsi" w:hAnsiTheme="minorHAnsi"/>
          <w:sz w:val="22"/>
          <w:szCs w:val="22"/>
        </w:rPr>
        <w:t>WIJ</w:t>
      </w:r>
      <w:r>
        <w:rPr>
          <w:rFonts w:asciiTheme="minorHAnsi" w:hAnsiTheme="minorHAnsi"/>
          <w:sz w:val="22"/>
          <w:szCs w:val="22"/>
        </w:rPr>
        <w:t>e</w:t>
      </w:r>
      <w:r w:rsidRPr="0050495C">
        <w:rPr>
          <w:rFonts w:asciiTheme="minorHAnsi" w:hAnsiTheme="minorHAnsi"/>
          <w:sz w:val="22"/>
          <w:szCs w:val="22"/>
        </w:rPr>
        <w:t>indhoven</w:t>
      </w:r>
      <w:proofErr w:type="spellEnd"/>
    </w:p>
    <w:p w:rsidR="00F108CC" w:rsidRDefault="0050495C" w:rsidP="00F108CC">
      <w:pPr>
        <w:pStyle w:val="Norma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108CC">
        <w:rPr>
          <w:rFonts w:asciiTheme="minorHAnsi" w:hAnsiTheme="minorHAnsi"/>
          <w:sz w:val="22"/>
          <w:szCs w:val="22"/>
        </w:rPr>
        <w:t>Servicebureau : risico meer bureaucratie, dit zit in het zorgprofessional, hoe zal dat gaan? Zorgvuldigheid en kwaliteit? Zorgvuldigheid en snelheid? Voorkeursaanbieder door cliënt. </w:t>
      </w:r>
    </w:p>
    <w:p w:rsidR="00F108CC" w:rsidRDefault="0050495C" w:rsidP="00F108CC">
      <w:pPr>
        <w:pStyle w:val="Norma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108CC">
        <w:rPr>
          <w:rFonts w:asciiTheme="minorHAnsi" w:hAnsiTheme="minorHAnsi"/>
          <w:sz w:val="22"/>
          <w:szCs w:val="22"/>
        </w:rPr>
        <w:t>Maak onderscheid in terechte groeiers en woekerwinst-groeien. Ook jaarverslagen 2017 laten weer ongewenste praktijken zien. Pak deze laatste aan. </w:t>
      </w:r>
    </w:p>
    <w:p w:rsidR="0050495C" w:rsidRPr="00F108CC" w:rsidRDefault="0050495C" w:rsidP="00F108CC">
      <w:pPr>
        <w:pStyle w:val="Norma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108CC">
        <w:rPr>
          <w:rFonts w:asciiTheme="minorHAnsi" w:hAnsiTheme="minorHAnsi"/>
          <w:sz w:val="22"/>
          <w:szCs w:val="22"/>
        </w:rPr>
        <w:t>Enerzijds voorspelde tekort op de arbeidsmarkt, anders zijn overschot door bezuinigingen. Heft dit elkaar op.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b/>
          <w:bCs/>
          <w:sz w:val="22"/>
          <w:szCs w:val="22"/>
        </w:rPr>
        <w:t>Maatregelen koste</w:t>
      </w:r>
      <w:r w:rsidR="00B11774">
        <w:rPr>
          <w:rFonts w:asciiTheme="minorHAnsi" w:hAnsiTheme="minorHAnsi"/>
          <w:b/>
          <w:bCs/>
          <w:sz w:val="22"/>
          <w:szCs w:val="22"/>
        </w:rPr>
        <w:t>nbeheersing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Materiële controle: gemeente heeft de data, kunnen deze ontsloten worden?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lastRenderedPageBreak/>
        <w:t>Vaker gesprekken met contractmanagement leidt tot meer inzicht.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Wijze van financiering en verantwoording moeten gekoppeld zijn (output of inspanningsgericht). Hou je daar dan ook aan.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NU: Vergunningen voor kamerverhuur afgeven, bij bestaande panden voor groepswoningen. Dit leidt in 2018 al tot vermindering kosten!!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Administratieve lasten zijn enorm toegenomen. Instellingen hebben ook een intern servicebureau, procesmanagers etc. Dus vermindering administratieve lasten.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Indicatie afschaffen bij aantal producten.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Wijzigingen in administratieve processen en contracten EEN keer per jaar.</w:t>
      </w:r>
    </w:p>
    <w:p w:rsidR="0050495C" w:rsidRPr="0050495C" w:rsidRDefault="0050495C" w:rsidP="00F108CC">
      <w:pPr>
        <w:pStyle w:val="Norma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0495C">
        <w:rPr>
          <w:rFonts w:asciiTheme="minorHAnsi" w:hAnsiTheme="minorHAnsi"/>
          <w:sz w:val="22"/>
          <w:szCs w:val="22"/>
        </w:rPr>
        <w:t>Ruimte voor vakmanschap van professionals blijft belangrijk.</w:t>
      </w:r>
    </w:p>
    <w:p w:rsidR="0050495C" w:rsidRPr="0050495C" w:rsidRDefault="0050495C" w:rsidP="0050495C">
      <w:pPr>
        <w:pStyle w:val="Norma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824555" w:rsidRPr="0050495C" w:rsidRDefault="0050495C">
      <w:pPr>
        <w:rPr>
          <w:rFonts w:cs="Arial"/>
          <w:b/>
          <w:lang w:eastAsia="nl-NL"/>
        </w:rPr>
      </w:pPr>
      <w:r w:rsidRPr="0050495C">
        <w:rPr>
          <w:rFonts w:cs="Arial"/>
          <w:b/>
          <w:highlight w:val="yellow"/>
          <w:lang w:eastAsia="nl-NL"/>
        </w:rPr>
        <w:t>Workshop 1b:</w:t>
      </w:r>
    </w:p>
    <w:p w:rsidR="0050495C" w:rsidRDefault="0050495C">
      <w:pPr>
        <w:rPr>
          <w:rFonts w:eastAsiaTheme="majorEastAsia" w:cstheme="majorBidi"/>
          <w:color w:val="000000" w:themeColor="text1"/>
          <w:kern w:val="24"/>
        </w:rPr>
      </w:pPr>
      <w:r w:rsidRPr="0050495C">
        <w:rPr>
          <w:rFonts w:eastAsiaTheme="majorEastAsia" w:cstheme="majorBidi"/>
          <w:color w:val="000000" w:themeColor="text1"/>
          <w:kern w:val="24"/>
        </w:rPr>
        <w:t>Wat is de kracht van het advies? Wat spreekt u het meeste aan?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 differentiatie biedt kansen op de doelgroepen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terugdringen van een aantal aanbieders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Meerjarige beleid, biedt iets meer zekerheid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Organisaties worden gestimuleerd om samen te werken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Efficiënt werken wordt gestimuleerd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Geen bestuurlijk aanbesteden meer maar een aanbesteding op basis van kwaliteit, beschikbaarheid, prijs!</w:t>
      </w:r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Duidelijkheid in </w:t>
      </w:r>
      <w:proofErr w:type="spellStart"/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PDC’s</w:t>
      </w:r>
      <w:proofErr w:type="spellEnd"/>
    </w:p>
    <w:p w:rsidR="0050495C" w:rsidRPr="0050495C" w:rsidRDefault="0050495C" w:rsidP="0050495C">
      <w:pPr>
        <w:pStyle w:val="Lijstalinea"/>
        <w:numPr>
          <w:ilvl w:val="0"/>
          <w:numId w:val="1"/>
        </w:numPr>
        <w:spacing w:line="216" w:lineRule="auto"/>
        <w:rPr>
          <w:sz w:val="22"/>
          <w:szCs w:val="22"/>
        </w:rPr>
      </w:pPr>
      <w:r w:rsidRPr="0050495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Gemeente Eindhoven; Pak je regie! Wees duidelijk!</w:t>
      </w:r>
    </w:p>
    <w:p w:rsidR="00F108CC" w:rsidRDefault="00F108CC">
      <w:pPr>
        <w:rPr>
          <w:rFonts w:eastAsiaTheme="majorEastAsia" w:cstheme="majorBidi"/>
          <w:color w:val="000000" w:themeColor="text1"/>
          <w:kern w:val="24"/>
        </w:rPr>
      </w:pPr>
    </w:p>
    <w:p w:rsidR="0050495C" w:rsidRDefault="0050495C">
      <w:pPr>
        <w:rPr>
          <w:rFonts w:eastAsiaTheme="majorEastAsia" w:cstheme="majorBidi"/>
          <w:color w:val="000000" w:themeColor="text1"/>
          <w:kern w:val="24"/>
        </w:rPr>
      </w:pPr>
      <w:r w:rsidRPr="0050495C">
        <w:rPr>
          <w:rFonts w:eastAsiaTheme="majorEastAsia" w:cstheme="majorBidi"/>
          <w:color w:val="000000" w:themeColor="text1"/>
          <w:kern w:val="24"/>
        </w:rPr>
        <w:t>W</w:t>
      </w:r>
      <w:r>
        <w:rPr>
          <w:rFonts w:eastAsiaTheme="majorEastAsia" w:cstheme="majorBidi"/>
          <w:color w:val="000000" w:themeColor="text1"/>
          <w:kern w:val="24"/>
        </w:rPr>
        <w:t xml:space="preserve">at is de zwakte van het advies? </w:t>
      </w:r>
      <w:r w:rsidRPr="0050495C">
        <w:rPr>
          <w:rFonts w:eastAsiaTheme="majorEastAsia" w:cstheme="majorBidi"/>
          <w:color w:val="000000" w:themeColor="text1"/>
          <w:kern w:val="24"/>
        </w:rPr>
        <w:t>Wat zijn de belangrijkste zorgen?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tijdspad: ambitieuze voornemens die niet realistisch zijn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schept afstand als de voornemens niet waargemaakt worden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servicebureau toets indicaties, die kennen de situaties niet en kunnen makkelijker afschalen. Het risico is dat financiën leidend zijn en niet de inhoud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Opnieuw meemaken dat er een gigantische krimp komt, afscheid van medewerkers nemen met kwaliteit.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Kunnen we de zorg nog leveren kijkend naar de doorlooptijd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Hoe regelen we de juiste zorg voor cliënten als er afgeschaald moet worden, kan </w:t>
      </w: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</w:t>
      </w:r>
      <w:r w:rsid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IJe</w:t>
      </w: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indhoven</w:t>
      </w:r>
      <w:proofErr w:type="spellEnd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bepaalde expertise aan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Geldgedreven</w:t>
      </w:r>
      <w:proofErr w:type="spellEnd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korte termijn politiek!</w:t>
      </w:r>
    </w:p>
    <w:p w:rsidR="00B11774" w:rsidRPr="00B11774" w:rsidRDefault="00B11774" w:rsidP="00B11774">
      <w:pPr>
        <w:pStyle w:val="Lijstalinea"/>
        <w:numPr>
          <w:ilvl w:val="0"/>
          <w:numId w:val="2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We sturen op </w:t>
      </w: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afschaling</w:t>
      </w:r>
      <w:proofErr w:type="spellEnd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hoe gaan we het vervolgtraject dan aan? We kunnen niet afschalen als er geen vervolg komt!!! 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Controleer op kwaliteit, PAK DE BOEVEN AAN!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 xml:space="preserve">Het rekenvoorbeeld </w:t>
      </w:r>
      <w:proofErr w:type="spellStart"/>
      <w:r w:rsidRPr="00B11774">
        <w:rPr>
          <w:rFonts w:cs="Arial"/>
          <w:lang w:eastAsia="nl-NL"/>
        </w:rPr>
        <w:t>Adjust</w:t>
      </w:r>
      <w:proofErr w:type="spellEnd"/>
      <w:r w:rsidR="00F108CC">
        <w:rPr>
          <w:rFonts w:cs="Arial"/>
          <w:lang w:eastAsia="nl-NL"/>
        </w:rPr>
        <w:t>,</w:t>
      </w:r>
      <w:r w:rsidRPr="00B11774">
        <w:rPr>
          <w:rFonts w:cs="Arial"/>
          <w:lang w:eastAsia="nl-NL"/>
        </w:rPr>
        <w:t xml:space="preserve"> </w:t>
      </w:r>
      <w:proofErr w:type="spellStart"/>
      <w:r w:rsidRPr="00B11774">
        <w:rPr>
          <w:rFonts w:cs="Arial"/>
          <w:lang w:eastAsia="nl-NL"/>
        </w:rPr>
        <w:t>hfdst</w:t>
      </w:r>
      <w:proofErr w:type="spellEnd"/>
      <w:r w:rsidRPr="00B11774">
        <w:rPr>
          <w:rFonts w:cs="Arial"/>
          <w:lang w:eastAsia="nl-NL"/>
        </w:rPr>
        <w:t xml:space="preserve"> 4 pag. 17, klopt niet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Hoe ga je om met de mensen die in zorg zijn, kun je t borgen? Bescherm de cliënten!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Durf te differentiëren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 xml:space="preserve"> Zowel de eis aan generalisten zowel generalistisch en specialistisch te werken moeten gaan</w:t>
      </w:r>
    </w:p>
    <w:p w:rsidR="00FA168B" w:rsidRPr="00B11774" w:rsidRDefault="00735C73" w:rsidP="00B11774">
      <w:pPr>
        <w:numPr>
          <w:ilvl w:val="0"/>
          <w:numId w:val="2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De kosten blijven stijgen ond</w:t>
      </w:r>
      <w:r w:rsidRPr="00B11774">
        <w:rPr>
          <w:rFonts w:cs="Arial"/>
          <w:lang w:eastAsia="nl-NL"/>
        </w:rPr>
        <w:t xml:space="preserve">anks de veranderingen in maart. </w:t>
      </w:r>
    </w:p>
    <w:p w:rsidR="00B11774" w:rsidRDefault="00B11774" w:rsidP="00B11774">
      <w:pPr>
        <w:spacing w:after="120"/>
        <w:rPr>
          <w:rFonts w:eastAsiaTheme="majorEastAsia" w:cstheme="majorBidi"/>
          <w:color w:val="000000" w:themeColor="text1"/>
          <w:kern w:val="24"/>
        </w:rPr>
      </w:pPr>
    </w:p>
    <w:p w:rsidR="00B11774" w:rsidRDefault="00B11774" w:rsidP="00B11774">
      <w:pPr>
        <w:spacing w:after="120"/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Heeft u amendementen of aanvullingen om effectiever kosten te beheersen?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servicebureau stuurt actief op het budgetplafond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 gemeente voert zijn regie, efficiëntie en effectiviteit in hun aanpak om bij te dragen aan het gezamenlijke kosten besparen.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Deskundigheid op </w:t>
      </w: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</w:t>
      </w:r>
      <w:r w:rsid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IJ</w:t>
      </w: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ein</w:t>
      </w:r>
      <w:r w:rsid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dh</w:t>
      </w: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oven</w:t>
      </w:r>
      <w:proofErr w:type="spellEnd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inhoudelijk en bedrijfsvoering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>Budgetplafond voor Wij Eindhoven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 pijn kan verdeeld worden over alle domeinen</w:t>
      </w:r>
    </w:p>
    <w:p w:rsidR="00B11774" w:rsidRPr="00B11774" w:rsidRDefault="00B11774" w:rsidP="00B11774">
      <w:pPr>
        <w:pStyle w:val="Lijstalinea"/>
        <w:numPr>
          <w:ilvl w:val="0"/>
          <w:numId w:val="4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Accountantscontroles voor alle organisaties, ook die onder de €100.000 euro</w:t>
      </w:r>
    </w:p>
    <w:p w:rsidR="00B11774" w:rsidRDefault="00B11774">
      <w:pPr>
        <w:rPr>
          <w:rFonts w:eastAsiaTheme="majorEastAsia" w:cstheme="majorBidi"/>
          <w:color w:val="000000" w:themeColor="text1"/>
          <w:kern w:val="24"/>
        </w:rPr>
      </w:pPr>
    </w:p>
    <w:p w:rsidR="00B11774" w:rsidRDefault="00B11774">
      <w:pPr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Algemeen: Wat kunnen jullie organisaties in 2018 extra bijdragen aan kostenbeheersing?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Wachtlijsten invoeren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Actief afschalen op ureninzet, cliënt </w:t>
      </w: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ontzorgen</w:t>
      </w:r>
      <w:proofErr w:type="spellEnd"/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Bij wachtlijst, cliënt in de preventie een aanbod kunnen doen. 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Duurzame krimp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Grijp niet in op de kostenprijzen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Actief bijdragen aan de verbetering van de PDC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Personeelsmix ingevoerd en doorgevoerd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Bestuurders van de organisaties leveren expertise aan gemeenten </w:t>
      </w:r>
      <w:proofErr w:type="spellStart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ipv</w:t>
      </w:r>
      <w:proofErr w:type="spellEnd"/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. Externe organisatiebureaus. 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Generieke korting (5%-10%) op de WMO doelgroep (beschermd wonen) tot de nieuwe aanbesteding. Onder voorwaarde dat in 2020 er een gedifferentieerd aanbestedingsbeleid komt gericht op kwaliteit, doelgroep en tarieven.</w:t>
      </w:r>
    </w:p>
    <w:p w:rsidR="00B11774" w:rsidRPr="00B11774" w:rsidRDefault="00B11774" w:rsidP="00B11774">
      <w:pPr>
        <w:pStyle w:val="Lijstalinea"/>
        <w:numPr>
          <w:ilvl w:val="0"/>
          <w:numId w:val="5"/>
        </w:numPr>
        <w:spacing w:line="216" w:lineRule="auto"/>
        <w:rPr>
          <w:sz w:val="22"/>
          <w:szCs w:val="22"/>
        </w:rPr>
      </w:pPr>
      <w:r w:rsidRPr="00B1177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Kosten voor administratie</w:t>
      </w:r>
    </w:p>
    <w:p w:rsidR="00FA168B" w:rsidRPr="00B11774" w:rsidRDefault="00735C73" w:rsidP="00B11774">
      <w:pPr>
        <w:numPr>
          <w:ilvl w:val="0"/>
          <w:numId w:val="5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Digitaliseren van zorg</w:t>
      </w:r>
    </w:p>
    <w:p w:rsidR="00FA168B" w:rsidRPr="00B11774" w:rsidRDefault="00735C73" w:rsidP="00B11774">
      <w:pPr>
        <w:numPr>
          <w:ilvl w:val="0"/>
          <w:numId w:val="5"/>
        </w:numPr>
        <w:spacing w:before="100" w:beforeAutospacing="1"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Als organisatie meteen de sociale basis aanreiken</w:t>
      </w:r>
    </w:p>
    <w:p w:rsidR="00FA168B" w:rsidRPr="00B11774" w:rsidRDefault="00735C73" w:rsidP="00B11774">
      <w:pPr>
        <w:numPr>
          <w:ilvl w:val="0"/>
          <w:numId w:val="5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 xml:space="preserve">Met </w:t>
      </w:r>
      <w:proofErr w:type="spellStart"/>
      <w:r w:rsidRPr="00B11774">
        <w:rPr>
          <w:rFonts w:cs="Arial"/>
          <w:lang w:eastAsia="nl-NL"/>
        </w:rPr>
        <w:t>W</w:t>
      </w:r>
      <w:r w:rsidR="00F108CC">
        <w:rPr>
          <w:rFonts w:cs="Arial"/>
          <w:lang w:eastAsia="nl-NL"/>
        </w:rPr>
        <w:t>IJ</w:t>
      </w:r>
      <w:r w:rsidRPr="00B11774">
        <w:rPr>
          <w:rFonts w:cs="Arial"/>
          <w:lang w:eastAsia="nl-NL"/>
        </w:rPr>
        <w:t>Eindhoven</w:t>
      </w:r>
      <w:proofErr w:type="spellEnd"/>
      <w:r w:rsidRPr="00B11774">
        <w:rPr>
          <w:rFonts w:cs="Arial"/>
          <w:lang w:eastAsia="nl-NL"/>
        </w:rPr>
        <w:t xml:space="preserve"> meedenken in de casusbesprekingen om oplossingen aan te dragen vanuit de nulde lijn. </w:t>
      </w:r>
    </w:p>
    <w:p w:rsidR="00FA168B" w:rsidRPr="00B11774" w:rsidRDefault="00735C73" w:rsidP="00B11774">
      <w:pPr>
        <w:numPr>
          <w:ilvl w:val="0"/>
          <w:numId w:val="5"/>
        </w:numPr>
        <w:spacing w:after="0"/>
        <w:rPr>
          <w:rFonts w:cs="Arial"/>
          <w:lang w:eastAsia="nl-NL"/>
        </w:rPr>
      </w:pPr>
      <w:r w:rsidRPr="00B11774">
        <w:rPr>
          <w:rFonts w:cs="Arial"/>
          <w:lang w:eastAsia="nl-NL"/>
        </w:rPr>
        <w:t>Een regionale aanbieder de LTA laten beoordelen.</w:t>
      </w:r>
    </w:p>
    <w:p w:rsidR="00B11774" w:rsidRDefault="00B11774">
      <w:pPr>
        <w:rPr>
          <w:rFonts w:cs="Arial"/>
          <w:lang w:eastAsia="nl-NL"/>
        </w:rPr>
      </w:pPr>
    </w:p>
    <w:p w:rsidR="00F108CC" w:rsidRDefault="00F108CC">
      <w:pPr>
        <w:rPr>
          <w:rFonts w:cs="Arial"/>
          <w:lang w:eastAsia="nl-NL"/>
        </w:rPr>
      </w:pPr>
      <w:r w:rsidRPr="00F108CC">
        <w:rPr>
          <w:rFonts w:cs="Arial"/>
          <w:highlight w:val="yellow"/>
          <w:lang w:eastAsia="nl-NL"/>
        </w:rPr>
        <w:t>Workshop 1c:</w:t>
      </w:r>
    </w:p>
    <w:p w:rsidR="00F108CC" w:rsidRDefault="00F108CC" w:rsidP="00F108CC">
      <w:pPr>
        <w:rPr>
          <w:rFonts w:eastAsiaTheme="majorEastAsia" w:cstheme="majorBidi"/>
          <w:color w:val="000000" w:themeColor="text1"/>
          <w:kern w:val="24"/>
        </w:rPr>
      </w:pPr>
      <w:r w:rsidRPr="0050495C">
        <w:rPr>
          <w:rFonts w:eastAsiaTheme="majorEastAsia" w:cstheme="majorBidi"/>
          <w:color w:val="000000" w:themeColor="text1"/>
          <w:kern w:val="24"/>
        </w:rPr>
        <w:t>Wat is de kracht van het advies? Wat spreekt u het meeste aan?</w:t>
      </w:r>
    </w:p>
    <w:p w:rsidR="00F108CC" w:rsidRPr="00F108CC" w:rsidRDefault="00F108CC" w:rsidP="00F108CC">
      <w:pPr>
        <w:pStyle w:val="Lijstalinea"/>
        <w:numPr>
          <w:ilvl w:val="0"/>
          <w:numId w:val="12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feit dat gestructureerd wordt gekeken naar gehele inkoopbeleid, budgetten, kwaliteit, beleid gemeente, samenwerking met aanbieders.</w:t>
      </w:r>
    </w:p>
    <w:p w:rsidR="00F108CC" w:rsidRPr="00F108CC" w:rsidRDefault="00F108CC" w:rsidP="00F108CC">
      <w:pPr>
        <w:pStyle w:val="Lijstalinea"/>
        <w:numPr>
          <w:ilvl w:val="0"/>
          <w:numId w:val="12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Omzetplafonds momenteel gezien huidige toestand logisch. Herijkingsmomenten inbouwen.</w:t>
      </w:r>
    </w:p>
    <w:p w:rsidR="00F108CC" w:rsidRPr="00F108CC" w:rsidRDefault="00F108CC" w:rsidP="00F108CC">
      <w:pPr>
        <w:pStyle w:val="Lijstalinea"/>
        <w:numPr>
          <w:ilvl w:val="0"/>
          <w:numId w:val="12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Het er zorg voor dragen dat beleid duidelijk wordt en de mogelijkheden financieel vooraf helder zijn.</w:t>
      </w:r>
    </w:p>
    <w:p w:rsidR="00F108CC" w:rsidRPr="00F108CC" w:rsidRDefault="00F108CC" w:rsidP="00F108CC">
      <w:pPr>
        <w:pStyle w:val="Lijstalinea"/>
        <w:numPr>
          <w:ilvl w:val="0"/>
          <w:numId w:val="12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Toewerken naar langduriger beleid. Minder ad hoc. </w:t>
      </w:r>
    </w:p>
    <w:p w:rsidR="00F108CC" w:rsidRDefault="00F108CC" w:rsidP="00F108CC">
      <w:pPr>
        <w:spacing w:line="216" w:lineRule="auto"/>
      </w:pPr>
    </w:p>
    <w:p w:rsidR="00F108CC" w:rsidRDefault="00F108CC" w:rsidP="00F108CC">
      <w:pPr>
        <w:rPr>
          <w:rFonts w:eastAsiaTheme="majorEastAsia" w:cstheme="majorBidi"/>
          <w:color w:val="000000" w:themeColor="text1"/>
          <w:kern w:val="24"/>
        </w:rPr>
      </w:pPr>
      <w:r w:rsidRPr="0050495C">
        <w:rPr>
          <w:rFonts w:eastAsiaTheme="majorEastAsia" w:cstheme="majorBidi"/>
          <w:color w:val="000000" w:themeColor="text1"/>
          <w:kern w:val="24"/>
        </w:rPr>
        <w:t>W</w:t>
      </w:r>
      <w:r>
        <w:rPr>
          <w:rFonts w:eastAsiaTheme="majorEastAsia" w:cstheme="majorBidi"/>
          <w:color w:val="000000" w:themeColor="text1"/>
          <w:kern w:val="24"/>
        </w:rPr>
        <w:t xml:space="preserve">at is de zwakte van het advies? </w:t>
      </w:r>
      <w:r w:rsidRPr="0050495C">
        <w:rPr>
          <w:rFonts w:eastAsiaTheme="majorEastAsia" w:cstheme="majorBidi"/>
          <w:color w:val="000000" w:themeColor="text1"/>
          <w:kern w:val="24"/>
        </w:rPr>
        <w:t>Wat zijn de belangrijkste zorgen?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Nog zeer onduidelijk wat de effecten zijn en hoe we daar als aanbieder op moeten anticiperen.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Tijdspad nog zeer vaag. Lijkt heel laat duidelijk te worden. Gezien zeer forse consequenties moet je nu al beleid maken. 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Wordt groei bepaald op euro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’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  of volume. Budgetplafond per product is moeilijk uitvoerbaar. Acceptatieplicht zorgvraag versus zorgplafond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Wachtlijsten worden als niet te voorkomen gezien maar groot risico op later intensievere zorg te moeten bieden..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Clientperspectief weinig aan bod. Client weer zeer aan moet tonen dat het echt noodzakelijk is dat er soms intensieve zorg nodig is en blijft.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Groei 2016 – 2018 halveren en daarbovenop de reguliere bezuiniging brengt voortbestaan organisaties in gevaar.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Geen nuance. Iedere partij over 1 kam. Inhoud van zorg komt weinig aan bod.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Expertise servicebureau.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lastRenderedPageBreak/>
        <w:t>Wat is de inhoudelijke visie achter het beleid. Steeds maar bli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j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ven afschalen daar waar het echt niet meer passend is bij problematiek cli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ë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nt is risicovol.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Huisartsen verwijzen rechtstreeks . Hoe bepalend wordt toch het servicebureau in deze. Wat doet generalist nog. Zit daar voldoende expertise 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Heel lang in basiszorg blijven en dan later heel veel specialistisch nodig. Match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care hanteren.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Gaat complex meer door partijen afgehouden worden omdat je zorgplicht hebt en dan sneller met te weinig cli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ë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nten aan het plafond komt.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Wat wordt er verstaan onder crisis. Zeer rekbaar begrip.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Risico op symptoomb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estrijding bij problematiek cliën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ten . Niet goed doorgronden waar stijging vandaan komt. 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Nu met trajecten werken maar niet werken met trajectprijzen.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PDC nog veel onlogisch aangaande behandeling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tarieven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Samenwerking zeer van belang maar dan kan het niet zijn in termen van ( take </w:t>
      </w:r>
      <w:proofErr w:type="spellStart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it</w:t>
      </w:r>
      <w:proofErr w:type="spellEnd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or </w:t>
      </w:r>
      <w:proofErr w:type="spellStart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leave</w:t>
      </w:r>
      <w:proofErr w:type="spellEnd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it</w:t>
      </w:r>
      <w:proofErr w:type="spellEnd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je schaalt nu al fors af anders heeft dat forse consequenties voor je, lees uitsluiting als zorgaanbieder)</w:t>
      </w:r>
    </w:p>
    <w:p w:rsidR="00F108CC" w:rsidRPr="00F108CC" w:rsidRDefault="00F108CC" w:rsidP="00F108CC">
      <w:pPr>
        <w:pStyle w:val="Lijstalinea"/>
        <w:numPr>
          <w:ilvl w:val="0"/>
          <w:numId w:val="13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Als kleine aanbieder q3 en q4 afbouwen en dan voor 2019 te klein zijn en geen contract krijgen.</w:t>
      </w:r>
    </w:p>
    <w:p w:rsidR="00F108CC" w:rsidRDefault="00F108CC" w:rsidP="00F108CC">
      <w:pPr>
        <w:spacing w:line="216" w:lineRule="auto"/>
      </w:pPr>
    </w:p>
    <w:p w:rsidR="00F108CC" w:rsidRDefault="00F108CC" w:rsidP="00F108CC">
      <w:pPr>
        <w:spacing w:after="120"/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Heeft u amendementen of aanvullingen om effectiever kosten te beheersen?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Voorkomen continu maatwerkafspraken per cliënt waardoor er een enorm administratief en overlegcyclus ontstaat.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Indicatie WIJ – Eindhoven: groei zit in aantallen. Hoe bij de voordeur daar al naar alternatieven te kijken. Dus nog voor servicebureau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Concretiseer zeer snel de nu algemene geformuleerde uitgangspunten in financiering en vooral waar nuancering plaats kan vinden per aanbieder. Waar vindt maatwerk plaats.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Budgetplafond WIJ Eindhoven tevens invoeren. Idem kwaliteitseisen.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Criteria vaststellen op basis waarvan je bepaald wie als aanbieder wel of niet een contract gaat krijgen.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Stimuleer innovaties in deze context. Vooral in samenwerking tussen zorgaanbieder gekoppeld aan kostenreductie.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Niet doorschieten in overmaat aan verantwoording want daar lekt zeer veel zorggeld op weg. Zorg dat het eenvoudig blijft.</w:t>
      </w:r>
    </w:p>
    <w:p w:rsidR="00F108CC" w:rsidRPr="00F108CC" w:rsidRDefault="00F108CC" w:rsidP="00F108CC">
      <w:pPr>
        <w:pStyle w:val="Lijstalinea"/>
        <w:numPr>
          <w:ilvl w:val="0"/>
          <w:numId w:val="14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Toets kwaliteit op vastgestelde criteria en combineer dat met in, door en uitstroom.</w:t>
      </w:r>
    </w:p>
    <w:p w:rsidR="00F108CC" w:rsidRDefault="00F108CC" w:rsidP="00F108CC">
      <w:pPr>
        <w:spacing w:line="216" w:lineRule="auto"/>
      </w:pPr>
    </w:p>
    <w:p w:rsidR="00F108CC" w:rsidRDefault="00F108CC" w:rsidP="00F108CC">
      <w:pPr>
        <w:rPr>
          <w:rFonts w:eastAsiaTheme="majorEastAsia" w:cstheme="majorBidi"/>
          <w:color w:val="000000" w:themeColor="text1"/>
          <w:kern w:val="24"/>
        </w:rPr>
      </w:pPr>
      <w:r w:rsidRPr="00B11774">
        <w:rPr>
          <w:rFonts w:eastAsiaTheme="majorEastAsia" w:cstheme="majorBidi"/>
          <w:color w:val="000000" w:themeColor="text1"/>
          <w:kern w:val="24"/>
        </w:rPr>
        <w:t>Algemeen: Wat kunnen jullie organisaties in 2018 extra bijdragen aan kostenbeheersing?</w:t>
      </w:r>
    </w:p>
    <w:p w:rsidR="00F108CC" w:rsidRPr="00F108CC" w:rsidRDefault="00F108CC" w:rsidP="00F108CC">
      <w:pPr>
        <w:pStyle w:val="Lijstalinea"/>
        <w:numPr>
          <w:ilvl w:val="0"/>
          <w:numId w:val="15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Snel af kunnen schalen van zorg naar voorliggend veld. Nu 3 </w:t>
      </w:r>
      <w:proofErr w:type="spellStart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mnd</w:t>
      </w:r>
      <w:proofErr w:type="spellEnd"/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wachttijd. Doorlooptijden te lang. Samenwerking Wij- Eindhoven nadrukkelijk verbeteren.</w:t>
      </w:r>
    </w:p>
    <w:p w:rsidR="00F108CC" w:rsidRPr="00F108CC" w:rsidRDefault="00F108CC" w:rsidP="00F108CC">
      <w:pPr>
        <w:pStyle w:val="Lijstalinea"/>
        <w:numPr>
          <w:ilvl w:val="0"/>
          <w:numId w:val="15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Sneller afschalen naar een product wat minder kost dan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wel voorliggend veld.</w:t>
      </w:r>
    </w:p>
    <w:p w:rsidR="00F108CC" w:rsidRPr="00F108CC" w:rsidRDefault="00F108CC" w:rsidP="00F108CC">
      <w:pPr>
        <w:pStyle w:val="Lijstalinea"/>
        <w:numPr>
          <w:ilvl w:val="0"/>
          <w:numId w:val="15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Combinatie huisarts - Wij Eindhoven. Huisartsen snel doorverwijzen naar 2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position w:val="12"/>
          <w:sz w:val="22"/>
          <w:szCs w:val="22"/>
          <w:vertAlign w:val="superscript"/>
        </w:rPr>
        <w:t>de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lijn. Kennen niet alle alternatieven.</w:t>
      </w:r>
    </w:p>
    <w:p w:rsidR="00F108CC" w:rsidRPr="00F108CC" w:rsidRDefault="00F108CC" w:rsidP="00F108CC">
      <w:pPr>
        <w:pStyle w:val="Lijstalinea"/>
        <w:numPr>
          <w:ilvl w:val="0"/>
          <w:numId w:val="15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Geen cliënten meer aannemen uit Eindhoven?</w:t>
      </w:r>
    </w:p>
    <w:p w:rsidR="00F108CC" w:rsidRPr="00F108CC" w:rsidRDefault="00F108CC" w:rsidP="00F108CC">
      <w:pPr>
        <w:pStyle w:val="Lijstalinea"/>
        <w:numPr>
          <w:ilvl w:val="0"/>
          <w:numId w:val="15"/>
        </w:numPr>
        <w:spacing w:line="216" w:lineRule="auto"/>
        <w:rPr>
          <w:sz w:val="22"/>
          <w:szCs w:val="22"/>
        </w:rPr>
      </w:pP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Producten incl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  <w:r w:rsidRPr="00F108C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tarieven: wat kan je daar nog in winnen. Hoogte en wijze van werken.</w:t>
      </w:r>
    </w:p>
    <w:p w:rsidR="00F108CC" w:rsidRPr="00F108CC" w:rsidRDefault="00F108CC" w:rsidP="00F108CC">
      <w:pPr>
        <w:spacing w:line="216" w:lineRule="auto"/>
      </w:pPr>
    </w:p>
    <w:p w:rsidR="00F108CC" w:rsidRPr="00F108CC" w:rsidRDefault="00F108CC">
      <w:pPr>
        <w:rPr>
          <w:rFonts w:cs="Arial"/>
          <w:lang w:eastAsia="nl-NL"/>
        </w:rPr>
      </w:pPr>
    </w:p>
    <w:sectPr w:rsidR="00F108CC" w:rsidRPr="00F10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8C"/>
    <w:multiLevelType w:val="hybridMultilevel"/>
    <w:tmpl w:val="2A1495FA"/>
    <w:lvl w:ilvl="0" w:tplc="21E0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22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ED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63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CF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A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2E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60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24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37225"/>
    <w:multiLevelType w:val="hybridMultilevel"/>
    <w:tmpl w:val="A082290C"/>
    <w:lvl w:ilvl="0" w:tplc="01D23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E6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C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CE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4E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AC9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44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0E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264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A02747"/>
    <w:multiLevelType w:val="hybridMultilevel"/>
    <w:tmpl w:val="1F9049EE"/>
    <w:lvl w:ilvl="0" w:tplc="B30A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20A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40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E2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A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06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07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7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85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3322D6"/>
    <w:multiLevelType w:val="hybridMultilevel"/>
    <w:tmpl w:val="2CB692B4"/>
    <w:lvl w:ilvl="0" w:tplc="AE9C0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27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24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C41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E3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0C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E3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47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4B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9063DC"/>
    <w:multiLevelType w:val="hybridMultilevel"/>
    <w:tmpl w:val="680E49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F4BB4"/>
    <w:multiLevelType w:val="hybridMultilevel"/>
    <w:tmpl w:val="0B3EBD58"/>
    <w:lvl w:ilvl="0" w:tplc="4F668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88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86B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01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C4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01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65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64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A8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E4175D"/>
    <w:multiLevelType w:val="hybridMultilevel"/>
    <w:tmpl w:val="20F849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25A3"/>
    <w:multiLevelType w:val="hybridMultilevel"/>
    <w:tmpl w:val="360843F8"/>
    <w:lvl w:ilvl="0" w:tplc="CBAC0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0AC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28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A3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67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44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CE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8D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28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7A79A2"/>
    <w:multiLevelType w:val="hybridMultilevel"/>
    <w:tmpl w:val="1D581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34612"/>
    <w:multiLevelType w:val="hybridMultilevel"/>
    <w:tmpl w:val="E8EE896C"/>
    <w:lvl w:ilvl="0" w:tplc="98F6B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C9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E9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CD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23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09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E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A8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C2C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FF3B55"/>
    <w:multiLevelType w:val="hybridMultilevel"/>
    <w:tmpl w:val="EE86388E"/>
    <w:lvl w:ilvl="0" w:tplc="ECF62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C8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B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2D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E9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27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2C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AE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8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F06361"/>
    <w:multiLevelType w:val="hybridMultilevel"/>
    <w:tmpl w:val="93ACB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06E40"/>
    <w:multiLevelType w:val="hybridMultilevel"/>
    <w:tmpl w:val="A9B65FB2"/>
    <w:lvl w:ilvl="0" w:tplc="8786B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E9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4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04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E9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C8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E8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4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83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FF403A"/>
    <w:multiLevelType w:val="hybridMultilevel"/>
    <w:tmpl w:val="893E8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2DC5"/>
    <w:multiLevelType w:val="hybridMultilevel"/>
    <w:tmpl w:val="52B43E5A"/>
    <w:lvl w:ilvl="0" w:tplc="57909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EF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8EA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86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7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AAB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00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23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C3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55"/>
    <w:rsid w:val="0050495C"/>
    <w:rsid w:val="00735C73"/>
    <w:rsid w:val="007E3BC8"/>
    <w:rsid w:val="00824555"/>
    <w:rsid w:val="00906016"/>
    <w:rsid w:val="00B11774"/>
    <w:rsid w:val="00F108CC"/>
    <w:rsid w:val="00F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AB28"/>
  <w15:docId w15:val="{EE047D26-664B-40E7-BA7E-261360AC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495C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5049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04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1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8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ndhoven.nl/sites/default/files/2018-07/20180608%20Adviesrapport%20Adjust%20Beheersing%20tweede%20Lij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1560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van Dommelen</dc:creator>
  <cp:lastModifiedBy>Christine Scholts</cp:lastModifiedBy>
  <cp:revision>2</cp:revision>
  <dcterms:created xsi:type="dcterms:W3CDTF">2018-07-13T11:07:00Z</dcterms:created>
  <dcterms:modified xsi:type="dcterms:W3CDTF">2018-07-13T11:07:00Z</dcterms:modified>
</cp:coreProperties>
</file>