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94" w:rsidRPr="006F0394" w:rsidRDefault="006F0394" w:rsidP="006F0394">
      <w:pPr>
        <w:pStyle w:val="Normaalweb"/>
        <w:spacing w:before="200" w:beforeAutospacing="0" w:after="0" w:afterAutospacing="0" w:line="216" w:lineRule="auto"/>
        <w:rPr>
          <w:rFonts w:asciiTheme="minorHAnsi" w:hAnsiTheme="minorHAnsi"/>
          <w:sz w:val="22"/>
          <w:szCs w:val="22"/>
        </w:rPr>
      </w:pPr>
      <w:r w:rsidRPr="006F0394">
        <w:rPr>
          <w:rFonts w:asciiTheme="minorHAnsi" w:hAnsiTheme="minorHAnsi"/>
          <w:b/>
          <w:sz w:val="22"/>
          <w:szCs w:val="22"/>
        </w:rPr>
        <w:t xml:space="preserve">Sturen op plafond </w:t>
      </w:r>
      <w:r w:rsidRPr="006F0394">
        <w:rPr>
          <w:rFonts w:asciiTheme="minorHAnsi" w:hAnsiTheme="minorHAnsi"/>
          <w:sz w:val="22"/>
          <w:szCs w:val="22"/>
        </w:rPr>
        <w:t>(</w:t>
      </w:r>
      <w:proofErr w:type="spellStart"/>
      <w:r w:rsidR="003F2C1A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2"/>
          <w:szCs w:val="22"/>
        </w:rPr>
        <w:fldChar w:fldCharType="begin"/>
      </w:r>
      <w:r w:rsidR="003F2C1A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2"/>
          <w:szCs w:val="22"/>
        </w:rPr>
        <w:instrText xml:space="preserve"> HYPERLINK "https://www.eindhoven.nl/sites/default/files/2018-07/20180608%20Adviesrapport%20Adjust%20Beheersing%20tweede%20Lijn.pdf" </w:instrText>
      </w:r>
      <w:r w:rsidR="003F2C1A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2"/>
          <w:szCs w:val="22"/>
        </w:rPr>
      </w:r>
      <w:r w:rsidR="003F2C1A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2"/>
          <w:szCs w:val="22"/>
        </w:rPr>
        <w:fldChar w:fldCharType="separate"/>
      </w:r>
      <w:r w:rsidRPr="003F2C1A">
        <w:rPr>
          <w:rStyle w:val="Hyperlink"/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  <w:t>Adjust</w:t>
      </w:r>
      <w:proofErr w:type="spellEnd"/>
      <w:r w:rsidR="003F2C1A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2"/>
          <w:szCs w:val="22"/>
        </w:rPr>
        <w:fldChar w:fldCharType="end"/>
      </w:r>
      <w:r w:rsidRPr="006F0394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2"/>
          <w:szCs w:val="22"/>
        </w:rPr>
        <w:t>, Hoofdstuk 4G, p 20)</w:t>
      </w:r>
    </w:p>
    <w:p w:rsidR="00793A96" w:rsidRDefault="003F2C1A"/>
    <w:p w:rsidR="006F0394" w:rsidRDefault="006F0394">
      <w:r>
        <w:t>Workshop 5:</w:t>
      </w:r>
    </w:p>
    <w:p w:rsidR="006F0394" w:rsidRDefault="006F0394" w:rsidP="006F0394">
      <w:pPr>
        <w:rPr>
          <w:rFonts w:eastAsiaTheme="majorEastAsia" w:cstheme="majorBidi"/>
          <w:color w:val="000000" w:themeColor="text1"/>
          <w:kern w:val="24"/>
        </w:rPr>
      </w:pPr>
      <w:r w:rsidRPr="0050495C">
        <w:rPr>
          <w:rFonts w:eastAsiaTheme="majorEastAsia" w:cstheme="majorBidi"/>
          <w:color w:val="000000" w:themeColor="text1"/>
          <w:kern w:val="24"/>
        </w:rPr>
        <w:t>Wat is de kracht van het advies? Wat spreekt u het meeste aan?</w:t>
      </w:r>
    </w:p>
    <w:p w:rsidR="006F0394" w:rsidRPr="006F0394" w:rsidRDefault="006F0394" w:rsidP="006F0394">
      <w:pPr>
        <w:pStyle w:val="Lijstalinea"/>
        <w:numPr>
          <w:ilvl w:val="0"/>
          <w:numId w:val="1"/>
        </w:numPr>
        <w:spacing w:line="216" w:lineRule="auto"/>
        <w:rPr>
          <w:sz w:val="22"/>
          <w:szCs w:val="22"/>
        </w:rPr>
      </w:pPr>
      <w:r w:rsidRPr="006F039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Het geeft duidelijkheid; organisaties weten beter waar ze aan toe zijn. Heldere, transparante afspraken.</w:t>
      </w:r>
    </w:p>
    <w:p w:rsidR="006F0394" w:rsidRPr="006F0394" w:rsidRDefault="006F0394" w:rsidP="006F0394">
      <w:pPr>
        <w:pStyle w:val="Lijstalinea"/>
        <w:numPr>
          <w:ilvl w:val="0"/>
          <w:numId w:val="1"/>
        </w:numPr>
        <w:spacing w:line="216" w:lineRule="auto"/>
        <w:rPr>
          <w:sz w:val="22"/>
          <w:szCs w:val="22"/>
        </w:rPr>
      </w:pPr>
      <w:r w:rsidRPr="006F039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Er wordt meer gestimuleerd om samen te werken tussen aanbieders.</w:t>
      </w:r>
    </w:p>
    <w:p w:rsidR="006F0394" w:rsidRPr="006F0394" w:rsidRDefault="006F0394" w:rsidP="006F0394">
      <w:pPr>
        <w:pStyle w:val="Lijstalinea"/>
        <w:numPr>
          <w:ilvl w:val="0"/>
          <w:numId w:val="1"/>
        </w:numPr>
        <w:spacing w:line="216" w:lineRule="auto"/>
        <w:rPr>
          <w:sz w:val="22"/>
          <w:szCs w:val="22"/>
        </w:rPr>
      </w:pPr>
      <w:r w:rsidRPr="006F039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Kortere lijnen tussen organisaties en contractmanagers.</w:t>
      </w:r>
    </w:p>
    <w:p w:rsidR="006F0394" w:rsidRPr="006F0394" w:rsidRDefault="006F0394" w:rsidP="006F0394">
      <w:pPr>
        <w:pStyle w:val="Lijstalinea"/>
        <w:numPr>
          <w:ilvl w:val="0"/>
          <w:numId w:val="1"/>
        </w:numPr>
        <w:spacing w:line="216" w:lineRule="auto"/>
        <w:rPr>
          <w:sz w:val="22"/>
          <w:szCs w:val="22"/>
        </w:rPr>
      </w:pPr>
      <w:r w:rsidRPr="006F039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Wachtlijstbeheer is een goede ontwikkeling, beter zicht.</w:t>
      </w:r>
    </w:p>
    <w:p w:rsidR="006F0394" w:rsidRPr="006F0394" w:rsidRDefault="006F0394" w:rsidP="006F0394">
      <w:pPr>
        <w:pStyle w:val="Lijstalinea"/>
        <w:numPr>
          <w:ilvl w:val="0"/>
          <w:numId w:val="1"/>
        </w:numPr>
        <w:spacing w:line="216" w:lineRule="auto"/>
        <w:rPr>
          <w:sz w:val="22"/>
          <w:szCs w:val="22"/>
        </w:rPr>
      </w:pPr>
      <w:r w:rsidRPr="006F039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Cliëntenstop proberen te voorkomen, tussentijds goed in de gate</w:t>
      </w:r>
      <w:bookmarkStart w:id="0" w:name="_GoBack"/>
      <w:bookmarkEnd w:id="0"/>
      <w:r w:rsidRPr="006F039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n houden.</w:t>
      </w:r>
    </w:p>
    <w:p w:rsidR="006F0394" w:rsidRDefault="006F0394"/>
    <w:p w:rsidR="006F0394" w:rsidRDefault="006F0394" w:rsidP="006F0394">
      <w:pPr>
        <w:rPr>
          <w:rFonts w:eastAsiaTheme="majorEastAsia" w:cstheme="majorBidi"/>
          <w:color w:val="000000" w:themeColor="text1"/>
          <w:kern w:val="24"/>
        </w:rPr>
      </w:pPr>
      <w:r w:rsidRPr="00726F0F">
        <w:rPr>
          <w:rFonts w:eastAsiaTheme="majorEastAsia" w:cstheme="majorBidi"/>
          <w:color w:val="000000" w:themeColor="text1"/>
          <w:kern w:val="24"/>
        </w:rPr>
        <w:t>Wat is de zwakte van het advies? Wat zijn de belangrijkste zorgen?</w:t>
      </w:r>
    </w:p>
    <w:p w:rsidR="006F0394" w:rsidRPr="006F0394" w:rsidRDefault="006F0394" w:rsidP="006F0394">
      <w:pPr>
        <w:pStyle w:val="Lijstalinea"/>
        <w:numPr>
          <w:ilvl w:val="0"/>
          <w:numId w:val="2"/>
        </w:numPr>
        <w:spacing w:line="216" w:lineRule="auto"/>
        <w:rPr>
          <w:sz w:val="22"/>
          <w:szCs w:val="22"/>
        </w:rPr>
      </w:pPr>
      <w:r w:rsidRPr="006F039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Cli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ë</w:t>
      </w:r>
      <w:r w:rsidRPr="006F039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ntenstop v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ersu</w:t>
      </w:r>
      <w:r w:rsidRPr="006F039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 zorgplicht, hoe gaan we daar mee om?</w:t>
      </w:r>
    </w:p>
    <w:p w:rsidR="006F0394" w:rsidRPr="006F0394" w:rsidRDefault="006F0394" w:rsidP="006F0394">
      <w:pPr>
        <w:pStyle w:val="Lijstalinea"/>
        <w:numPr>
          <w:ilvl w:val="0"/>
          <w:numId w:val="2"/>
        </w:numPr>
        <w:spacing w:line="216" w:lineRule="auto"/>
        <w:rPr>
          <w:sz w:val="22"/>
          <w:szCs w:val="22"/>
        </w:rPr>
      </w:pPr>
      <w:r w:rsidRPr="006F039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Ben je als organisatie wel verantwoordelijk om een cli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ë</w:t>
      </w:r>
      <w:r w:rsidRPr="006F039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ntenstop in te voeren, kan dit eenzijdig?</w:t>
      </w:r>
    </w:p>
    <w:p w:rsidR="006F0394" w:rsidRPr="006F0394" w:rsidRDefault="006F0394" w:rsidP="006F0394">
      <w:pPr>
        <w:pStyle w:val="Lijstalinea"/>
        <w:numPr>
          <w:ilvl w:val="0"/>
          <w:numId w:val="2"/>
        </w:numPr>
        <w:spacing w:line="216" w:lineRule="auto"/>
        <w:rPr>
          <w:sz w:val="22"/>
          <w:szCs w:val="22"/>
        </w:rPr>
      </w:pPr>
      <w:r w:rsidRPr="006F039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Waar ligt de verantwoordelijkheid van cliënten die op de wachtlijst staan?</w:t>
      </w:r>
    </w:p>
    <w:p w:rsidR="006F0394" w:rsidRPr="006F0394" w:rsidRDefault="006F0394" w:rsidP="006F0394">
      <w:pPr>
        <w:pStyle w:val="Lijstalinea"/>
        <w:numPr>
          <w:ilvl w:val="0"/>
          <w:numId w:val="2"/>
        </w:numPr>
        <w:spacing w:line="216" w:lineRule="auto"/>
        <w:rPr>
          <w:sz w:val="22"/>
          <w:szCs w:val="22"/>
        </w:rPr>
      </w:pPr>
      <w:r w:rsidRPr="006F039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1,5x de treeknorm, hoe realistisch is dit? Ook afhankelijk per product.</w:t>
      </w:r>
    </w:p>
    <w:p w:rsidR="006F0394" w:rsidRPr="006F0394" w:rsidRDefault="006F0394" w:rsidP="006F0394">
      <w:pPr>
        <w:pStyle w:val="Lijstalinea"/>
        <w:numPr>
          <w:ilvl w:val="0"/>
          <w:numId w:val="2"/>
        </w:numPr>
        <w:spacing w:line="216" w:lineRule="auto"/>
        <w:rPr>
          <w:sz w:val="22"/>
          <w:szCs w:val="22"/>
        </w:rPr>
      </w:pPr>
      <w:r w:rsidRPr="006F039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Op- en afschalen, verplicht productmix bieden, is dat wenselijk?</w:t>
      </w:r>
    </w:p>
    <w:p w:rsidR="006F0394" w:rsidRPr="006F0394" w:rsidRDefault="006F0394" w:rsidP="006F0394">
      <w:pPr>
        <w:pStyle w:val="Lijstalinea"/>
        <w:numPr>
          <w:ilvl w:val="0"/>
          <w:numId w:val="2"/>
        </w:numPr>
        <w:spacing w:line="216" w:lineRule="auto"/>
        <w:rPr>
          <w:sz w:val="22"/>
          <w:szCs w:val="22"/>
        </w:rPr>
      </w:pPr>
      <w:r w:rsidRPr="006F039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Ontbreken van objectieve criteria om af te bouwen, praktijk wijst uit dat deze beslissing kan afhangen van wie dit beoordeelt. Hier moeten betere afspraken over komen.</w:t>
      </w:r>
    </w:p>
    <w:p w:rsidR="006F0394" w:rsidRPr="006F0394" w:rsidRDefault="006F0394" w:rsidP="006F0394">
      <w:pPr>
        <w:pStyle w:val="Lijstalinea"/>
        <w:numPr>
          <w:ilvl w:val="0"/>
          <w:numId w:val="2"/>
        </w:numPr>
        <w:spacing w:line="216" w:lineRule="auto"/>
        <w:rPr>
          <w:sz w:val="22"/>
          <w:szCs w:val="22"/>
        </w:rPr>
      </w:pPr>
      <w:r w:rsidRPr="006F039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Tussentijds afschalen van een beschikking duurt nu vaak veel te lang, terwijl dit juist kostenbesparend is.</w:t>
      </w:r>
    </w:p>
    <w:p w:rsidR="006F0394" w:rsidRDefault="006F0394" w:rsidP="006F0394">
      <w:pPr>
        <w:spacing w:line="216" w:lineRule="auto"/>
      </w:pPr>
    </w:p>
    <w:p w:rsidR="006F0394" w:rsidRDefault="006F0394" w:rsidP="006F0394">
      <w:pPr>
        <w:spacing w:after="120"/>
        <w:rPr>
          <w:rFonts w:eastAsiaTheme="majorEastAsia" w:cstheme="majorBidi"/>
          <w:color w:val="000000" w:themeColor="text1"/>
          <w:kern w:val="24"/>
        </w:rPr>
      </w:pPr>
      <w:r w:rsidRPr="00B11774">
        <w:rPr>
          <w:rFonts w:eastAsiaTheme="majorEastAsia" w:cstheme="majorBidi"/>
          <w:color w:val="000000" w:themeColor="text1"/>
          <w:kern w:val="24"/>
        </w:rPr>
        <w:t>Heeft u amendementen of aanvullingen om effectiever kosten te beheersen?</w:t>
      </w:r>
    </w:p>
    <w:p w:rsidR="006F0394" w:rsidRPr="006F0394" w:rsidRDefault="006F0394" w:rsidP="006F0394">
      <w:pPr>
        <w:pStyle w:val="Lijstalinea"/>
        <w:numPr>
          <w:ilvl w:val="0"/>
          <w:numId w:val="3"/>
        </w:numPr>
        <w:spacing w:line="216" w:lineRule="auto"/>
        <w:rPr>
          <w:sz w:val="22"/>
          <w:szCs w:val="22"/>
        </w:rPr>
      </w:pPr>
      <w:r w:rsidRPr="006F039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Als organisatie zelf mandaat kunnen krijgen om tussentijds beschikkingen af te schalen, dit scheelt tijd en geld. Of duidelijke en effectievere afspraken met het servicebureau. Proces versoepelen. </w:t>
      </w:r>
    </w:p>
    <w:p w:rsidR="006F0394" w:rsidRPr="006F0394" w:rsidRDefault="006F0394" w:rsidP="006F0394">
      <w:pPr>
        <w:pStyle w:val="Lijstalinea"/>
        <w:numPr>
          <w:ilvl w:val="0"/>
          <w:numId w:val="3"/>
        </w:numPr>
        <w:spacing w:line="216" w:lineRule="auto"/>
        <w:rPr>
          <w:sz w:val="22"/>
          <w:szCs w:val="22"/>
        </w:rPr>
      </w:pPr>
      <w:r w:rsidRPr="006F039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Zorginhoudelijke mensen zouden zich niet teveel met financiële rompslomp bezig moeten houden.</w:t>
      </w:r>
    </w:p>
    <w:p w:rsidR="00F428A2" w:rsidRPr="006F0394" w:rsidRDefault="006F0394" w:rsidP="006F0394">
      <w:pPr>
        <w:numPr>
          <w:ilvl w:val="0"/>
          <w:numId w:val="3"/>
        </w:numPr>
        <w:spacing w:after="0" w:line="216" w:lineRule="auto"/>
      </w:pPr>
      <w:r w:rsidRPr="006F0394">
        <w:t>Veel beter kijken naar de juiste manier van beschikken, wat heeft cli</w:t>
      </w:r>
      <w:r>
        <w:t>ë</w:t>
      </w:r>
      <w:r w:rsidRPr="006F0394">
        <w:t>nt echt nodig? Ook op langer</w:t>
      </w:r>
      <w:r>
        <w:t>e</w:t>
      </w:r>
      <w:r w:rsidRPr="006F0394">
        <w:t xml:space="preserve"> termijn en niet alleen op korte termijn.</w:t>
      </w:r>
    </w:p>
    <w:p w:rsidR="00F428A2" w:rsidRPr="006F0394" w:rsidRDefault="006F0394" w:rsidP="006F0394">
      <w:pPr>
        <w:numPr>
          <w:ilvl w:val="0"/>
          <w:numId w:val="3"/>
        </w:numPr>
        <w:spacing w:after="0" w:line="216" w:lineRule="auto"/>
      </w:pPr>
      <w:r w:rsidRPr="006F0394">
        <w:t>Organisaties willen veel meer inzicht in wat het Servicebureau gaat doen; hoe wordt dit ingericht, wie komen hierin, hoe wordt dit bepaald? Hoe kunnen we tot een effectievere samenwerking komen?</w:t>
      </w:r>
      <w:r>
        <w:t xml:space="preserve"> </w:t>
      </w:r>
      <w:r w:rsidRPr="006F0394">
        <w:t>Hierdoor komt er ook meer vertrouwen in het advies van het Servicebureau. Dit heeft ook tijd nodig.</w:t>
      </w:r>
    </w:p>
    <w:p w:rsidR="00F428A2" w:rsidRPr="006F0394" w:rsidRDefault="006F0394" w:rsidP="006F0394">
      <w:pPr>
        <w:numPr>
          <w:ilvl w:val="0"/>
          <w:numId w:val="3"/>
        </w:numPr>
        <w:spacing w:after="0" w:line="216" w:lineRule="auto"/>
      </w:pPr>
      <w:r w:rsidRPr="006F0394">
        <w:t>Scheiden van wonen/zorg waar mogelijk. Kritischer kijken naar product Verblijf. Mogelijk nieuw product ontwikkelen hiervoor.</w:t>
      </w:r>
      <w:r>
        <w:t xml:space="preserve"> </w:t>
      </w:r>
      <w:r w:rsidRPr="006F0394">
        <w:t xml:space="preserve">Dit heeft echter ook haken en ogen, wat doe je met eigen woonlasten etc. </w:t>
      </w:r>
    </w:p>
    <w:p w:rsidR="006F0394" w:rsidRDefault="006F0394" w:rsidP="006F0394">
      <w:pPr>
        <w:spacing w:line="216" w:lineRule="auto"/>
      </w:pPr>
    </w:p>
    <w:p w:rsidR="006F0394" w:rsidRDefault="006F0394" w:rsidP="006F0394">
      <w:pPr>
        <w:rPr>
          <w:rFonts w:eastAsiaTheme="majorEastAsia" w:cstheme="majorBidi"/>
          <w:color w:val="000000" w:themeColor="text1"/>
          <w:kern w:val="24"/>
        </w:rPr>
      </w:pPr>
      <w:r w:rsidRPr="00B11774">
        <w:rPr>
          <w:rFonts w:eastAsiaTheme="majorEastAsia" w:cstheme="majorBidi"/>
          <w:color w:val="000000" w:themeColor="text1"/>
          <w:kern w:val="24"/>
        </w:rPr>
        <w:t>Algemeen: Wat kunnen jullie organisaties in 2018 extra bijdragen aan kostenbeheersing?</w:t>
      </w:r>
    </w:p>
    <w:p w:rsidR="006F0394" w:rsidRPr="006F0394" w:rsidRDefault="006F0394" w:rsidP="006F0394">
      <w:pPr>
        <w:pStyle w:val="Lijstalinea"/>
        <w:numPr>
          <w:ilvl w:val="0"/>
          <w:numId w:val="6"/>
        </w:numPr>
        <w:spacing w:line="216" w:lineRule="auto"/>
        <w:rPr>
          <w:sz w:val="22"/>
          <w:szCs w:val="22"/>
        </w:rPr>
      </w:pPr>
      <w:r w:rsidRPr="006F039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Administratieve rompslomp verminderen.</w:t>
      </w:r>
    </w:p>
    <w:p w:rsidR="00F428A2" w:rsidRPr="006F0394" w:rsidRDefault="006F0394" w:rsidP="006F0394">
      <w:pPr>
        <w:numPr>
          <w:ilvl w:val="0"/>
          <w:numId w:val="6"/>
        </w:numPr>
        <w:spacing w:after="0" w:line="216" w:lineRule="auto"/>
      </w:pPr>
      <w:r w:rsidRPr="006F0394">
        <w:t>Terug naar maandtarieven i</w:t>
      </w:r>
      <w:r>
        <w:t>.</w:t>
      </w:r>
      <w:r w:rsidRPr="006F0394">
        <w:t>p</w:t>
      </w:r>
      <w:r>
        <w:t>.</w:t>
      </w:r>
      <w:r w:rsidRPr="006F0394">
        <w:t>v</w:t>
      </w:r>
      <w:r>
        <w:t>.</w:t>
      </w:r>
      <w:r w:rsidRPr="006F0394">
        <w:t xml:space="preserve"> trajecttarief. Als een traject korter gedaan kan worden, declareer je nu het hele traject.</w:t>
      </w:r>
    </w:p>
    <w:p w:rsidR="006F0394" w:rsidRPr="006F0394" w:rsidRDefault="006F0394" w:rsidP="006F0394">
      <w:pPr>
        <w:numPr>
          <w:ilvl w:val="0"/>
          <w:numId w:val="6"/>
        </w:numPr>
        <w:spacing w:line="216" w:lineRule="auto"/>
      </w:pPr>
      <w:r w:rsidRPr="006F0394">
        <w:t>Kennis en expertise vanuit de inhoud van aanbieders aanbieden om mee te denken in de doorontwikkeling van de PDC. Gebruik dit ook!</w:t>
      </w:r>
    </w:p>
    <w:p w:rsidR="006F0394" w:rsidRPr="006F0394" w:rsidRDefault="006F0394"/>
    <w:sectPr w:rsidR="006F0394" w:rsidRPr="006F0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72A46"/>
    <w:multiLevelType w:val="hybridMultilevel"/>
    <w:tmpl w:val="130ACF42"/>
    <w:lvl w:ilvl="0" w:tplc="B9ACB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BA4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EEB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3E4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A8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40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CC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F49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6B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941D38"/>
    <w:multiLevelType w:val="hybridMultilevel"/>
    <w:tmpl w:val="42AAF834"/>
    <w:lvl w:ilvl="0" w:tplc="76B09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C0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89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6AB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E41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884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4AC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69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A23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4C235D"/>
    <w:multiLevelType w:val="hybridMultilevel"/>
    <w:tmpl w:val="D8F48A32"/>
    <w:lvl w:ilvl="0" w:tplc="28C8D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00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A7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5E5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A4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E7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09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C9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BCD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A7C79C8"/>
    <w:multiLevelType w:val="hybridMultilevel"/>
    <w:tmpl w:val="69E84A42"/>
    <w:lvl w:ilvl="0" w:tplc="43082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D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18D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4C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E2D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84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25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DCD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AE9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8D76B46"/>
    <w:multiLevelType w:val="hybridMultilevel"/>
    <w:tmpl w:val="7BF4B3B2"/>
    <w:lvl w:ilvl="0" w:tplc="4E0CB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822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EB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AE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C06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46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C3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1A5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EEC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C21A02"/>
    <w:multiLevelType w:val="hybridMultilevel"/>
    <w:tmpl w:val="0C348F18"/>
    <w:lvl w:ilvl="0" w:tplc="3446A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66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C2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B44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25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2F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2B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624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1ED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CE85423"/>
    <w:multiLevelType w:val="hybridMultilevel"/>
    <w:tmpl w:val="2FAEAEE2"/>
    <w:lvl w:ilvl="0" w:tplc="B44C3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889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DC2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F27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987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884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109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47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048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66B329C"/>
    <w:multiLevelType w:val="hybridMultilevel"/>
    <w:tmpl w:val="6A84D518"/>
    <w:lvl w:ilvl="0" w:tplc="76201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407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25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D85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1AC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C9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A04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50C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9EE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94"/>
    <w:rsid w:val="003F2C1A"/>
    <w:rsid w:val="006F0394"/>
    <w:rsid w:val="007E3BC8"/>
    <w:rsid w:val="00906016"/>
    <w:rsid w:val="00F4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32451-4FD7-417B-82E3-4E864973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F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6F0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3F2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8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5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1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9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0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5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3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3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0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6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 van Dommelen</dc:creator>
  <cp:lastModifiedBy>Christine Scholts</cp:lastModifiedBy>
  <cp:revision>2</cp:revision>
  <dcterms:created xsi:type="dcterms:W3CDTF">2018-07-13T13:12:00Z</dcterms:created>
  <dcterms:modified xsi:type="dcterms:W3CDTF">2018-07-13T13:12:00Z</dcterms:modified>
</cp:coreProperties>
</file>