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F0F" w:rsidRDefault="00726F0F" w:rsidP="00726F0F">
      <w:pPr>
        <w:pStyle w:val="Normaalweb"/>
        <w:spacing w:before="0" w:beforeAutospacing="0" w:after="0" w:afterAutospacing="0" w:line="216" w:lineRule="auto"/>
        <w:rPr>
          <w:rFonts w:asciiTheme="minorHAnsi" w:eastAsiaTheme="minorEastAsia" w:hAnsi="Calibri" w:cstheme="minorBidi"/>
          <w:b/>
          <w:bCs/>
          <w:color w:val="000000" w:themeColor="text1"/>
          <w:kern w:val="24"/>
          <w:sz w:val="22"/>
          <w:szCs w:val="22"/>
        </w:rPr>
      </w:pPr>
      <w:r w:rsidRPr="00726F0F">
        <w:rPr>
          <w:rFonts w:asciiTheme="minorHAnsi" w:eastAsiaTheme="minorEastAsia" w:hAnsi="Calibri" w:cstheme="minorBidi"/>
          <w:b/>
          <w:color w:val="000000" w:themeColor="text1"/>
          <w:kern w:val="24"/>
          <w:sz w:val="22"/>
          <w:szCs w:val="22"/>
        </w:rPr>
        <w:t>Aanvullende maatregelen budgetoverschrijdingen (</w:t>
      </w:r>
      <w:proofErr w:type="spellStart"/>
      <w:r w:rsidR="00B10CF4">
        <w:rPr>
          <w:rFonts w:asciiTheme="minorHAnsi" w:eastAsiaTheme="minorEastAsia" w:hAnsi="Calibri" w:cstheme="minorBidi"/>
          <w:b/>
          <w:bCs/>
          <w:color w:val="000000" w:themeColor="text1"/>
          <w:kern w:val="24"/>
          <w:sz w:val="22"/>
          <w:szCs w:val="22"/>
        </w:rPr>
        <w:fldChar w:fldCharType="begin"/>
      </w:r>
      <w:r w:rsidR="00B10CF4">
        <w:rPr>
          <w:rFonts w:asciiTheme="minorHAnsi" w:eastAsiaTheme="minorEastAsia" w:hAnsi="Calibri" w:cstheme="minorBidi"/>
          <w:b/>
          <w:bCs/>
          <w:color w:val="000000" w:themeColor="text1"/>
          <w:kern w:val="24"/>
          <w:sz w:val="22"/>
          <w:szCs w:val="22"/>
        </w:rPr>
        <w:instrText xml:space="preserve"> HYPERLINK "https://www.eindhoven.nl/sites/default/files/2018-07/20180608%20Adviesrapport%20Adjust%20Beheersing%20tweede%20Lijn.pdf" </w:instrText>
      </w:r>
      <w:r w:rsidR="00B10CF4">
        <w:rPr>
          <w:rFonts w:asciiTheme="minorHAnsi" w:eastAsiaTheme="minorEastAsia" w:hAnsi="Calibri" w:cstheme="minorBidi"/>
          <w:b/>
          <w:bCs/>
          <w:color w:val="000000" w:themeColor="text1"/>
          <w:kern w:val="24"/>
          <w:sz w:val="22"/>
          <w:szCs w:val="22"/>
        </w:rPr>
      </w:r>
      <w:r w:rsidR="00B10CF4">
        <w:rPr>
          <w:rFonts w:asciiTheme="minorHAnsi" w:eastAsiaTheme="minorEastAsia" w:hAnsi="Calibri" w:cstheme="minorBidi"/>
          <w:b/>
          <w:bCs/>
          <w:color w:val="000000" w:themeColor="text1"/>
          <w:kern w:val="24"/>
          <w:sz w:val="22"/>
          <w:szCs w:val="22"/>
        </w:rPr>
        <w:fldChar w:fldCharType="separate"/>
      </w:r>
      <w:r w:rsidRPr="00B10CF4">
        <w:rPr>
          <w:rStyle w:val="Hyperlink"/>
          <w:rFonts w:asciiTheme="minorHAnsi" w:eastAsiaTheme="minorEastAsia" w:hAnsi="Calibri" w:cstheme="minorBidi"/>
          <w:b/>
          <w:bCs/>
          <w:kern w:val="24"/>
          <w:sz w:val="22"/>
          <w:szCs w:val="22"/>
        </w:rPr>
        <w:t>Adjust</w:t>
      </w:r>
      <w:proofErr w:type="spellEnd"/>
      <w:r w:rsidR="00B10CF4">
        <w:rPr>
          <w:rFonts w:asciiTheme="minorHAnsi" w:eastAsiaTheme="minorEastAsia" w:hAnsi="Calibri" w:cstheme="minorBidi"/>
          <w:b/>
          <w:bCs/>
          <w:color w:val="000000" w:themeColor="text1"/>
          <w:kern w:val="24"/>
          <w:sz w:val="22"/>
          <w:szCs w:val="22"/>
        </w:rPr>
        <w:fldChar w:fldCharType="end"/>
      </w:r>
      <w:r w:rsidRPr="00726F0F">
        <w:rPr>
          <w:rFonts w:asciiTheme="minorHAnsi" w:eastAsiaTheme="minorEastAsia" w:hAnsi="Calibri" w:cstheme="minorBidi"/>
          <w:b/>
          <w:bCs/>
          <w:color w:val="000000" w:themeColor="text1"/>
          <w:kern w:val="24"/>
          <w:sz w:val="22"/>
          <w:szCs w:val="22"/>
        </w:rPr>
        <w:t>, Hoofdstuk 4D, p 18-19)</w:t>
      </w:r>
    </w:p>
    <w:p w:rsidR="00726F0F" w:rsidRDefault="00726F0F" w:rsidP="00726F0F">
      <w:pPr>
        <w:rPr>
          <w:rFonts w:eastAsiaTheme="majorEastAsia" w:cstheme="majorBidi"/>
          <w:color w:val="000000" w:themeColor="text1"/>
          <w:kern w:val="24"/>
        </w:rPr>
      </w:pPr>
    </w:p>
    <w:p w:rsidR="00726F0F" w:rsidRDefault="00726F0F" w:rsidP="00726F0F">
      <w:pPr>
        <w:rPr>
          <w:rFonts w:eastAsiaTheme="majorEastAsia" w:cstheme="majorBidi"/>
          <w:color w:val="000000" w:themeColor="text1"/>
          <w:kern w:val="24"/>
        </w:rPr>
      </w:pPr>
      <w:r>
        <w:rPr>
          <w:rFonts w:eastAsiaTheme="majorEastAsia" w:cstheme="majorBidi"/>
          <w:color w:val="000000" w:themeColor="text1"/>
          <w:kern w:val="24"/>
        </w:rPr>
        <w:t>Workshop 3:</w:t>
      </w:r>
    </w:p>
    <w:p w:rsidR="00726F0F" w:rsidRDefault="00726F0F" w:rsidP="00726F0F">
      <w:pPr>
        <w:rPr>
          <w:rFonts w:eastAsiaTheme="majorEastAsia" w:cstheme="majorBidi"/>
          <w:color w:val="000000" w:themeColor="text1"/>
          <w:kern w:val="24"/>
        </w:rPr>
      </w:pPr>
      <w:r w:rsidRPr="0050495C">
        <w:rPr>
          <w:rFonts w:eastAsiaTheme="majorEastAsia" w:cstheme="majorBidi"/>
          <w:color w:val="000000" w:themeColor="text1"/>
          <w:kern w:val="24"/>
        </w:rPr>
        <w:t>Wat is de kracht van het advies? Wat spreekt u het meeste aan?</w:t>
      </w:r>
    </w:p>
    <w:p w:rsidR="00726F0F" w:rsidRPr="00726F0F" w:rsidRDefault="00726F0F" w:rsidP="00726F0F">
      <w:pPr>
        <w:pStyle w:val="Lijstalinea"/>
        <w:numPr>
          <w:ilvl w:val="0"/>
          <w:numId w:val="1"/>
        </w:numPr>
        <w:spacing w:line="216" w:lineRule="auto"/>
        <w:rPr>
          <w:sz w:val="22"/>
          <w:szCs w:val="22"/>
        </w:rPr>
      </w:pPr>
      <w:r w:rsidRPr="00726F0F">
        <w:rPr>
          <w:rFonts w:asciiTheme="minorHAnsi" w:eastAsiaTheme="minorEastAsia" w:hAnsi="Calibri" w:cstheme="minorBidi"/>
          <w:color w:val="000000" w:themeColor="text1"/>
          <w:kern w:val="24"/>
          <w:sz w:val="22"/>
          <w:szCs w:val="22"/>
        </w:rPr>
        <w:t xml:space="preserve">Positief is dat er meer vinger aan de pols komt: hoe staat het met de </w:t>
      </w:r>
      <w:proofErr w:type="spellStart"/>
      <w:r w:rsidRPr="00726F0F">
        <w:rPr>
          <w:rFonts w:asciiTheme="minorHAnsi" w:eastAsiaTheme="minorEastAsia" w:hAnsi="Calibri" w:cstheme="minorBidi"/>
          <w:color w:val="000000" w:themeColor="text1"/>
          <w:kern w:val="24"/>
          <w:sz w:val="22"/>
          <w:szCs w:val="22"/>
        </w:rPr>
        <w:t>uitnutting</w:t>
      </w:r>
      <w:proofErr w:type="spellEnd"/>
      <w:r w:rsidRPr="00726F0F">
        <w:rPr>
          <w:rFonts w:asciiTheme="minorHAnsi" w:eastAsiaTheme="minorEastAsia" w:hAnsi="Calibri" w:cstheme="minorBidi"/>
          <w:color w:val="000000" w:themeColor="text1"/>
          <w:kern w:val="24"/>
          <w:sz w:val="22"/>
          <w:szCs w:val="22"/>
        </w:rPr>
        <w:t xml:space="preserve"> van de afspraken? Monitoring van in- en doorstroom. Kanttekening daarbij is wel dat de administratieve lasten nog verder kunnen oplopen. Dit is absoluut ongewenst.</w:t>
      </w:r>
    </w:p>
    <w:p w:rsidR="00726F0F" w:rsidRPr="00726F0F" w:rsidRDefault="00726F0F" w:rsidP="00726F0F">
      <w:pPr>
        <w:pStyle w:val="Lijstalinea"/>
        <w:numPr>
          <w:ilvl w:val="0"/>
          <w:numId w:val="1"/>
        </w:numPr>
        <w:spacing w:line="216" w:lineRule="auto"/>
        <w:rPr>
          <w:sz w:val="22"/>
          <w:szCs w:val="22"/>
        </w:rPr>
      </w:pPr>
      <w:r w:rsidRPr="00726F0F">
        <w:rPr>
          <w:rFonts w:asciiTheme="minorHAnsi" w:eastAsiaTheme="minorEastAsia" w:hAnsi="Calibri" w:cstheme="minorBidi"/>
          <w:color w:val="000000" w:themeColor="text1"/>
          <w:kern w:val="24"/>
          <w:sz w:val="22"/>
          <w:szCs w:val="22"/>
        </w:rPr>
        <w:t xml:space="preserve">Toetsing gemiddelde kosten per cliënt draagt bij aan inzicht. Echter, als de zorgvraagzwaarte hoger wordt doordat </w:t>
      </w:r>
      <w:proofErr w:type="spellStart"/>
      <w:r w:rsidRPr="00726F0F">
        <w:rPr>
          <w:rFonts w:asciiTheme="minorHAnsi" w:eastAsiaTheme="minorEastAsia" w:hAnsi="Calibri" w:cstheme="minorBidi"/>
          <w:color w:val="000000" w:themeColor="text1"/>
          <w:kern w:val="24"/>
          <w:sz w:val="22"/>
          <w:szCs w:val="22"/>
        </w:rPr>
        <w:t>WIJeindhoven</w:t>
      </w:r>
      <w:proofErr w:type="spellEnd"/>
      <w:r w:rsidRPr="00726F0F">
        <w:rPr>
          <w:rFonts w:asciiTheme="minorHAnsi" w:eastAsiaTheme="minorEastAsia" w:hAnsi="Calibri" w:cstheme="minorBidi"/>
          <w:color w:val="000000" w:themeColor="text1"/>
          <w:kern w:val="24"/>
          <w:sz w:val="22"/>
          <w:szCs w:val="22"/>
        </w:rPr>
        <w:t xml:space="preserve"> meer zelf gaat doen bijv., zullen de gemiddelde kosten per cliënt stijgen. Het is dus niet per definitie de aanbieder aan te rekenen als de gemiddelde kosten per cliënt stijgen.</w:t>
      </w:r>
    </w:p>
    <w:p w:rsidR="00726F0F" w:rsidRPr="00726F0F" w:rsidRDefault="00726F0F" w:rsidP="00726F0F">
      <w:pPr>
        <w:pStyle w:val="Lijstalinea"/>
        <w:numPr>
          <w:ilvl w:val="0"/>
          <w:numId w:val="1"/>
        </w:numPr>
        <w:spacing w:line="216" w:lineRule="auto"/>
        <w:rPr>
          <w:sz w:val="22"/>
          <w:szCs w:val="22"/>
        </w:rPr>
      </w:pPr>
      <w:r w:rsidRPr="00726F0F">
        <w:rPr>
          <w:rFonts w:asciiTheme="minorHAnsi" w:eastAsiaTheme="minorEastAsia" w:hAnsi="Calibri" w:cstheme="minorBidi"/>
          <w:color w:val="000000" w:themeColor="text1"/>
          <w:kern w:val="24"/>
          <w:sz w:val="22"/>
          <w:szCs w:val="22"/>
        </w:rPr>
        <w:t>High trust, high penalty is prettig. Geeft vertrouwen.</w:t>
      </w:r>
    </w:p>
    <w:p w:rsidR="00726F0F" w:rsidRDefault="00726F0F" w:rsidP="00726F0F">
      <w:pPr>
        <w:pStyle w:val="Lijstalinea"/>
        <w:rPr>
          <w:rFonts w:eastAsiaTheme="majorEastAsia" w:cstheme="majorBidi"/>
          <w:color w:val="000000" w:themeColor="text1"/>
          <w:kern w:val="24"/>
        </w:rPr>
      </w:pPr>
    </w:p>
    <w:p w:rsidR="00726F0F" w:rsidRDefault="00726F0F" w:rsidP="00726F0F">
      <w:pPr>
        <w:rPr>
          <w:rFonts w:eastAsiaTheme="majorEastAsia" w:cstheme="majorBidi"/>
          <w:color w:val="000000" w:themeColor="text1"/>
          <w:kern w:val="24"/>
        </w:rPr>
      </w:pPr>
      <w:r w:rsidRPr="00726F0F">
        <w:rPr>
          <w:rFonts w:eastAsiaTheme="majorEastAsia" w:cstheme="majorBidi"/>
          <w:color w:val="000000" w:themeColor="text1"/>
          <w:kern w:val="24"/>
        </w:rPr>
        <w:t>Wat is de zwakte van het advies? Wat zijn de belangrijkste zorgen?</w:t>
      </w:r>
      <w:bookmarkStart w:id="0" w:name="_GoBack"/>
      <w:bookmarkEnd w:id="0"/>
    </w:p>
    <w:p w:rsidR="00726F0F" w:rsidRPr="00726F0F" w:rsidRDefault="00726F0F" w:rsidP="00726F0F">
      <w:pPr>
        <w:pStyle w:val="Lijstalinea"/>
        <w:numPr>
          <w:ilvl w:val="0"/>
          <w:numId w:val="2"/>
        </w:numPr>
        <w:spacing w:line="216" w:lineRule="auto"/>
        <w:rPr>
          <w:sz w:val="22"/>
          <w:szCs w:val="22"/>
        </w:rPr>
      </w:pPr>
      <w:r w:rsidRPr="00726F0F">
        <w:rPr>
          <w:rFonts w:asciiTheme="minorHAnsi" w:eastAsiaTheme="minorEastAsia" w:hAnsi="Calibri" w:cstheme="minorBidi"/>
          <w:color w:val="000000" w:themeColor="text1"/>
          <w:kern w:val="24"/>
          <w:sz w:val="22"/>
          <w:szCs w:val="22"/>
        </w:rPr>
        <w:t>Als iedere gemeente individueel gaat besluiten om al dan niet een budgetplafond te hanteren en daarbij eigen vereisten te stellen, samenhangend met alle administratieve lasten, is dit onuitvoerbaar voor de aanbieder.</w:t>
      </w:r>
    </w:p>
    <w:p w:rsidR="00726F0F" w:rsidRPr="00726F0F" w:rsidRDefault="00726F0F" w:rsidP="00726F0F">
      <w:pPr>
        <w:pStyle w:val="Lijstalinea"/>
        <w:numPr>
          <w:ilvl w:val="0"/>
          <w:numId w:val="2"/>
        </w:numPr>
        <w:spacing w:line="216" w:lineRule="auto"/>
        <w:rPr>
          <w:sz w:val="22"/>
          <w:szCs w:val="22"/>
        </w:rPr>
      </w:pPr>
      <w:r w:rsidRPr="00726F0F">
        <w:rPr>
          <w:rFonts w:asciiTheme="minorHAnsi" w:eastAsiaTheme="minorEastAsia" w:hAnsi="Calibri" w:cstheme="minorBidi"/>
          <w:color w:val="000000" w:themeColor="text1"/>
          <w:kern w:val="24"/>
          <w:sz w:val="22"/>
          <w:szCs w:val="22"/>
        </w:rPr>
        <w:t>Onzeker is of de beperking van de instroom aan de voorkant evenredig loopt met het afsluiten van de achterkant.</w:t>
      </w:r>
    </w:p>
    <w:p w:rsidR="00726F0F" w:rsidRPr="00726F0F" w:rsidRDefault="00726F0F" w:rsidP="00726F0F">
      <w:pPr>
        <w:pStyle w:val="Lijstalinea"/>
        <w:numPr>
          <w:ilvl w:val="0"/>
          <w:numId w:val="2"/>
        </w:numPr>
        <w:spacing w:line="216" w:lineRule="auto"/>
        <w:rPr>
          <w:sz w:val="22"/>
          <w:szCs w:val="22"/>
        </w:rPr>
      </w:pPr>
      <w:r w:rsidRPr="00726F0F">
        <w:rPr>
          <w:rFonts w:asciiTheme="minorHAnsi" w:eastAsiaTheme="minorEastAsia" w:hAnsi="Calibri" w:cstheme="minorBidi"/>
          <w:color w:val="000000" w:themeColor="text1"/>
          <w:kern w:val="24"/>
          <w:sz w:val="22"/>
          <w:szCs w:val="22"/>
        </w:rPr>
        <w:t>Zorgen over de financiële situatie van de zorgaanbieders: het korten van de tarieven. Zijn de tarieven nog kostendekkend?</w:t>
      </w:r>
    </w:p>
    <w:p w:rsidR="00726F0F" w:rsidRPr="00726F0F" w:rsidRDefault="00726F0F" w:rsidP="00726F0F">
      <w:pPr>
        <w:pStyle w:val="Lijstalinea"/>
        <w:numPr>
          <w:ilvl w:val="0"/>
          <w:numId w:val="2"/>
        </w:numPr>
        <w:spacing w:line="216" w:lineRule="auto"/>
        <w:rPr>
          <w:sz w:val="22"/>
          <w:szCs w:val="22"/>
        </w:rPr>
      </w:pPr>
      <w:r w:rsidRPr="00726F0F">
        <w:rPr>
          <w:rFonts w:asciiTheme="minorHAnsi" w:eastAsiaTheme="minorEastAsia" w:hAnsi="Calibri" w:cstheme="minorBidi"/>
          <w:color w:val="000000" w:themeColor="text1"/>
          <w:kern w:val="24"/>
          <w:sz w:val="22"/>
          <w:szCs w:val="22"/>
        </w:rPr>
        <w:t>Afbouw (B-aanbieders) is al aan de orde; nog meer afbouw is geen optie.</w:t>
      </w:r>
    </w:p>
    <w:p w:rsidR="00726F0F" w:rsidRPr="00726F0F" w:rsidRDefault="00726F0F" w:rsidP="00726F0F">
      <w:pPr>
        <w:pStyle w:val="Lijstalinea"/>
        <w:numPr>
          <w:ilvl w:val="0"/>
          <w:numId w:val="2"/>
        </w:numPr>
        <w:spacing w:line="216" w:lineRule="auto"/>
        <w:rPr>
          <w:sz w:val="22"/>
          <w:szCs w:val="22"/>
        </w:rPr>
      </w:pPr>
      <w:r w:rsidRPr="00726F0F">
        <w:rPr>
          <w:rFonts w:asciiTheme="minorHAnsi" w:eastAsiaTheme="minorEastAsia" w:hAnsi="Calibri" w:cstheme="minorBidi"/>
          <w:color w:val="000000" w:themeColor="text1"/>
          <w:kern w:val="24"/>
          <w:sz w:val="22"/>
          <w:szCs w:val="22"/>
        </w:rPr>
        <w:t>Overschrijding van de budgetindicatie, met toestemming van de gemeente, is niet realistisch. Het wordt nl. niet tegen het maximale tarief vergoed.</w:t>
      </w:r>
    </w:p>
    <w:p w:rsidR="00726F0F" w:rsidRPr="00726F0F" w:rsidRDefault="00726F0F" w:rsidP="00726F0F">
      <w:pPr>
        <w:pStyle w:val="Lijstalinea"/>
        <w:numPr>
          <w:ilvl w:val="0"/>
          <w:numId w:val="2"/>
        </w:numPr>
        <w:spacing w:line="216" w:lineRule="auto"/>
        <w:rPr>
          <w:sz w:val="22"/>
          <w:szCs w:val="22"/>
        </w:rPr>
      </w:pPr>
      <w:r w:rsidRPr="00726F0F">
        <w:rPr>
          <w:rFonts w:asciiTheme="minorHAnsi" w:eastAsiaTheme="minorEastAsia" w:hAnsi="Calibri" w:cstheme="minorBidi"/>
          <w:color w:val="000000" w:themeColor="text1"/>
          <w:kern w:val="24"/>
          <w:sz w:val="22"/>
          <w:szCs w:val="22"/>
        </w:rPr>
        <w:t>Werken met herijkingsmomenten kan een perverse prikkel vormen om in de eerste helft van het jaar volop cliënten te zien. Bij gelijkmatige spreiding over het jaar waarbij andere aanbieders hoger zitten in de eerste helft van het jaar, komt bij een herijkingsmoment een korting.</w:t>
      </w:r>
    </w:p>
    <w:p w:rsidR="00726F0F" w:rsidRPr="00726F0F" w:rsidRDefault="00726F0F" w:rsidP="00726F0F">
      <w:pPr>
        <w:pStyle w:val="Lijstalinea"/>
        <w:numPr>
          <w:ilvl w:val="0"/>
          <w:numId w:val="2"/>
        </w:numPr>
        <w:spacing w:line="216" w:lineRule="auto"/>
        <w:rPr>
          <w:sz w:val="22"/>
          <w:szCs w:val="22"/>
        </w:rPr>
      </w:pPr>
      <w:r w:rsidRPr="00726F0F">
        <w:rPr>
          <w:rFonts w:asciiTheme="minorHAnsi" w:eastAsiaTheme="minorEastAsia" w:hAnsi="Calibri" w:cstheme="minorBidi"/>
          <w:color w:val="000000" w:themeColor="text1"/>
          <w:kern w:val="24"/>
          <w:sz w:val="22"/>
          <w:szCs w:val="22"/>
        </w:rPr>
        <w:t>Algemeen: zorgen over de werking en personele invulling (kwaliteit) van het Servicebureau. Leidt dit tot het gewenste effect?</w:t>
      </w:r>
    </w:p>
    <w:p w:rsidR="00726F0F" w:rsidRDefault="00726F0F" w:rsidP="00726F0F">
      <w:pPr>
        <w:rPr>
          <w:rFonts w:eastAsiaTheme="majorEastAsia" w:cstheme="majorBidi"/>
          <w:color w:val="000000" w:themeColor="text1"/>
          <w:kern w:val="24"/>
        </w:rPr>
      </w:pPr>
    </w:p>
    <w:p w:rsidR="00726F0F" w:rsidRDefault="00726F0F" w:rsidP="00726F0F">
      <w:pPr>
        <w:spacing w:after="120"/>
        <w:rPr>
          <w:rFonts w:eastAsiaTheme="majorEastAsia" w:cstheme="majorBidi"/>
          <w:color w:val="000000" w:themeColor="text1"/>
          <w:kern w:val="24"/>
        </w:rPr>
      </w:pPr>
      <w:r w:rsidRPr="00B11774">
        <w:rPr>
          <w:rFonts w:eastAsiaTheme="majorEastAsia" w:cstheme="majorBidi"/>
          <w:color w:val="000000" w:themeColor="text1"/>
          <w:kern w:val="24"/>
        </w:rPr>
        <w:t>Heeft u amendementen of aanvullingen om effectiever kosten te beheersen?</w:t>
      </w:r>
    </w:p>
    <w:p w:rsidR="00726F0F" w:rsidRPr="00726F0F" w:rsidRDefault="00726F0F" w:rsidP="00726F0F">
      <w:pPr>
        <w:pStyle w:val="Lijstalinea"/>
        <w:numPr>
          <w:ilvl w:val="0"/>
          <w:numId w:val="3"/>
        </w:numPr>
        <w:spacing w:line="216" w:lineRule="auto"/>
        <w:rPr>
          <w:sz w:val="22"/>
          <w:szCs w:val="22"/>
        </w:rPr>
      </w:pPr>
      <w:r w:rsidRPr="00726F0F">
        <w:rPr>
          <w:rFonts w:asciiTheme="minorHAnsi" w:eastAsiaTheme="minorEastAsia" w:hAnsi="Calibri" w:cstheme="minorBidi"/>
          <w:color w:val="000000" w:themeColor="text1"/>
          <w:kern w:val="24"/>
          <w:sz w:val="22"/>
          <w:szCs w:val="22"/>
        </w:rPr>
        <w:t>Veel meer nadruk op een inhoudelijke mentaliteitsverandering. Omslag van denken van ‘recht op zorg’ naar ‘recht op een oplossing’.</w:t>
      </w:r>
    </w:p>
    <w:p w:rsidR="00726F0F" w:rsidRPr="00726F0F" w:rsidRDefault="00726F0F" w:rsidP="00726F0F">
      <w:pPr>
        <w:pStyle w:val="Lijstalinea"/>
        <w:numPr>
          <w:ilvl w:val="0"/>
          <w:numId w:val="3"/>
        </w:numPr>
        <w:spacing w:line="216" w:lineRule="auto"/>
        <w:rPr>
          <w:sz w:val="22"/>
          <w:szCs w:val="22"/>
        </w:rPr>
      </w:pPr>
      <w:r w:rsidRPr="00726F0F">
        <w:rPr>
          <w:rFonts w:asciiTheme="minorHAnsi" w:eastAsiaTheme="minorEastAsia" w:hAnsi="Calibri" w:cstheme="minorBidi"/>
          <w:color w:val="000000" w:themeColor="text1"/>
          <w:kern w:val="24"/>
          <w:sz w:val="22"/>
          <w:szCs w:val="22"/>
        </w:rPr>
        <w:t>Verantwoordelijkheid terug leggen bij de mensen zelf (voorbeeld: zelfhulpgroepen bij dementie, of voorlichting / verplichte informatiebijeenkomsten).</w:t>
      </w:r>
    </w:p>
    <w:p w:rsidR="00726F0F" w:rsidRPr="00726F0F" w:rsidRDefault="00726F0F" w:rsidP="00726F0F">
      <w:pPr>
        <w:numPr>
          <w:ilvl w:val="0"/>
          <w:numId w:val="3"/>
        </w:numPr>
        <w:spacing w:after="0"/>
        <w:rPr>
          <w:rFonts w:eastAsiaTheme="majorEastAsia" w:cstheme="majorBidi"/>
          <w:color w:val="000000" w:themeColor="text1"/>
          <w:kern w:val="24"/>
        </w:rPr>
      </w:pPr>
      <w:r w:rsidRPr="00726F0F">
        <w:rPr>
          <w:rFonts w:eastAsiaTheme="majorEastAsia" w:cstheme="majorBidi"/>
          <w:color w:val="000000" w:themeColor="text1"/>
          <w:kern w:val="24"/>
        </w:rPr>
        <w:t xml:space="preserve">Werkwijze à la addendum 2018 zoals de B-partijen hebben opgesteld met de gemeente in 2018: vanuit de inhoud gedacht een </w:t>
      </w:r>
      <w:proofErr w:type="spellStart"/>
      <w:r w:rsidRPr="00726F0F">
        <w:rPr>
          <w:rFonts w:eastAsiaTheme="majorEastAsia" w:cstheme="majorBidi"/>
          <w:color w:val="000000" w:themeColor="text1"/>
          <w:kern w:val="24"/>
        </w:rPr>
        <w:t>afschaling</w:t>
      </w:r>
      <w:proofErr w:type="spellEnd"/>
      <w:r w:rsidRPr="00726F0F">
        <w:rPr>
          <w:rFonts w:eastAsiaTheme="majorEastAsia" w:cstheme="majorBidi"/>
          <w:color w:val="000000" w:themeColor="text1"/>
          <w:kern w:val="24"/>
        </w:rPr>
        <w:t xml:space="preserve"> realiseren.</w:t>
      </w:r>
    </w:p>
    <w:p w:rsidR="00726F0F" w:rsidRDefault="00726F0F" w:rsidP="00726F0F">
      <w:pPr>
        <w:numPr>
          <w:ilvl w:val="0"/>
          <w:numId w:val="3"/>
        </w:numPr>
        <w:spacing w:after="0"/>
        <w:rPr>
          <w:rFonts w:eastAsiaTheme="majorEastAsia" w:cstheme="majorBidi"/>
          <w:color w:val="000000" w:themeColor="text1"/>
          <w:kern w:val="24"/>
        </w:rPr>
      </w:pPr>
      <w:proofErr w:type="spellStart"/>
      <w:r w:rsidRPr="00726F0F">
        <w:rPr>
          <w:rFonts w:eastAsiaTheme="majorEastAsia" w:cstheme="majorBidi"/>
          <w:color w:val="000000" w:themeColor="text1"/>
          <w:kern w:val="24"/>
        </w:rPr>
        <w:t>KPI’s</w:t>
      </w:r>
      <w:proofErr w:type="spellEnd"/>
      <w:r w:rsidRPr="00726F0F">
        <w:rPr>
          <w:rFonts w:eastAsiaTheme="majorEastAsia" w:cstheme="majorBidi"/>
          <w:color w:val="000000" w:themeColor="text1"/>
          <w:kern w:val="24"/>
        </w:rPr>
        <w:t xml:space="preserve"> aanpassen op wat wel en wat niet goed werkt: kijken naar de effectiviteit. Toetsing of hulp effectief gebleken is en meer inzetten van deze hulp. Kanttekening: niet bij iedere doelgroep is dit haalbaar. De context is van belang.</w:t>
      </w:r>
    </w:p>
    <w:p w:rsidR="00726F0F" w:rsidRDefault="00726F0F" w:rsidP="00726F0F">
      <w:pPr>
        <w:spacing w:after="0"/>
        <w:rPr>
          <w:rFonts w:eastAsiaTheme="majorEastAsia" w:cstheme="majorBidi"/>
          <w:color w:val="000000" w:themeColor="text1"/>
          <w:kern w:val="24"/>
        </w:rPr>
      </w:pPr>
    </w:p>
    <w:p w:rsidR="00726F0F" w:rsidRDefault="00726F0F" w:rsidP="00726F0F">
      <w:pPr>
        <w:rPr>
          <w:rFonts w:eastAsiaTheme="majorEastAsia" w:cstheme="majorBidi"/>
          <w:color w:val="000000" w:themeColor="text1"/>
          <w:kern w:val="24"/>
        </w:rPr>
      </w:pPr>
      <w:r w:rsidRPr="00B11774">
        <w:rPr>
          <w:rFonts w:eastAsiaTheme="majorEastAsia" w:cstheme="majorBidi"/>
          <w:color w:val="000000" w:themeColor="text1"/>
          <w:kern w:val="24"/>
        </w:rPr>
        <w:t>Algemeen: Wat kunnen jullie organisaties in 2018 extra bijdragen aan kostenbeheersing?</w:t>
      </w:r>
    </w:p>
    <w:p w:rsidR="00726F0F" w:rsidRPr="00726F0F" w:rsidRDefault="00726F0F" w:rsidP="00726F0F">
      <w:pPr>
        <w:pStyle w:val="Lijstalinea"/>
        <w:numPr>
          <w:ilvl w:val="0"/>
          <w:numId w:val="6"/>
        </w:numPr>
        <w:spacing w:before="200" w:line="216" w:lineRule="auto"/>
        <w:rPr>
          <w:rFonts w:asciiTheme="minorHAnsi" w:hAnsiTheme="minorHAnsi"/>
          <w:sz w:val="22"/>
          <w:szCs w:val="22"/>
        </w:rPr>
      </w:pPr>
      <w:r w:rsidRPr="00726F0F">
        <w:rPr>
          <w:rFonts w:asciiTheme="minorHAnsi" w:eastAsiaTheme="minorEastAsia" w:hAnsiTheme="minorHAnsi"/>
          <w:color w:val="000000" w:themeColor="text1"/>
          <w:kern w:val="24"/>
          <w:sz w:val="22"/>
          <w:szCs w:val="22"/>
        </w:rPr>
        <w:t>Er is onderscheid tussen A-partijen en B-partijen. B-partijen hebben al bezuinigingen gerealiseerd. Hier zit een grens aan. Sterk is dat er in 2018 een addendum is opgesteld vanuit de inhoud: concreet en realistisch, SMART. Bij A-partijen merk je direct financieel verschil als er maatregelen komen. Mogelijk ook een addendum opstellen à la de B-partijen. Kan onderdeel zijn van de accountgesprekken.</w:t>
      </w:r>
    </w:p>
    <w:p w:rsidR="00726F0F" w:rsidRPr="00726F0F" w:rsidRDefault="00726F0F" w:rsidP="00726F0F">
      <w:pPr>
        <w:pStyle w:val="Normaalweb"/>
        <w:numPr>
          <w:ilvl w:val="0"/>
          <w:numId w:val="4"/>
        </w:numPr>
        <w:spacing w:before="200" w:beforeAutospacing="0" w:after="0" w:afterAutospacing="0" w:line="216" w:lineRule="auto"/>
        <w:rPr>
          <w:rFonts w:asciiTheme="minorHAnsi" w:hAnsiTheme="minorHAnsi"/>
          <w:sz w:val="22"/>
          <w:szCs w:val="22"/>
        </w:rPr>
      </w:pPr>
      <w:proofErr w:type="spellStart"/>
      <w:r w:rsidRPr="00726F0F">
        <w:rPr>
          <w:rFonts w:asciiTheme="minorHAnsi" w:eastAsiaTheme="minorEastAsia" w:hAnsiTheme="minorHAnsi" w:cstheme="minorBidi"/>
          <w:color w:val="000000" w:themeColor="text1"/>
          <w:kern w:val="24"/>
          <w:sz w:val="22"/>
          <w:szCs w:val="22"/>
        </w:rPr>
        <w:lastRenderedPageBreak/>
        <w:t>Afschaling</w:t>
      </w:r>
      <w:proofErr w:type="spellEnd"/>
      <w:r w:rsidRPr="00726F0F">
        <w:rPr>
          <w:rFonts w:asciiTheme="minorHAnsi" w:eastAsiaTheme="minorEastAsia" w:hAnsiTheme="minorHAnsi" w:cstheme="minorBidi"/>
          <w:color w:val="000000" w:themeColor="text1"/>
          <w:kern w:val="24"/>
          <w:sz w:val="22"/>
          <w:szCs w:val="22"/>
        </w:rPr>
        <w:t xml:space="preserve"> en doorstroming, bijvoorbeeld: Sneller doorstromen van de lichtste vorm van Beschermd Wonen naar OZL Zwaar door middel van een schakelwoning in de nabijheid. </w:t>
      </w:r>
      <w:r w:rsidRPr="00726F0F">
        <w:rPr>
          <w:rFonts w:asciiTheme="minorHAnsi" w:eastAsiaTheme="minorEastAsia" w:hAnsiTheme="minorHAnsi"/>
          <w:sz w:val="22"/>
          <w:szCs w:val="22"/>
        </w:rPr>
        <w:sym w:font="Wingdings" w:char="F0E0"/>
      </w:r>
      <w:r w:rsidRPr="00726F0F">
        <w:rPr>
          <w:rFonts w:asciiTheme="minorHAnsi" w:eastAsiaTheme="minorEastAsia" w:hAnsiTheme="minorHAnsi" w:cstheme="minorBidi"/>
          <w:color w:val="000000" w:themeColor="text1"/>
          <w:kern w:val="24"/>
          <w:sz w:val="22"/>
          <w:szCs w:val="22"/>
        </w:rPr>
        <w:t xml:space="preserve"> </w:t>
      </w:r>
      <w:proofErr w:type="spellStart"/>
      <w:r w:rsidRPr="00726F0F">
        <w:rPr>
          <w:rFonts w:asciiTheme="minorHAnsi" w:eastAsiaTheme="minorEastAsia" w:hAnsiTheme="minorHAnsi" w:cstheme="minorBidi"/>
          <w:color w:val="000000" w:themeColor="text1"/>
          <w:kern w:val="24"/>
          <w:sz w:val="22"/>
          <w:szCs w:val="22"/>
        </w:rPr>
        <w:t>Jados</w:t>
      </w:r>
      <w:proofErr w:type="spellEnd"/>
      <w:r w:rsidRPr="00726F0F">
        <w:rPr>
          <w:rFonts w:asciiTheme="minorHAnsi" w:eastAsiaTheme="minorEastAsia" w:hAnsiTheme="minorHAnsi" w:cstheme="minorBidi"/>
          <w:color w:val="000000" w:themeColor="text1"/>
          <w:kern w:val="24"/>
          <w:sz w:val="22"/>
          <w:szCs w:val="22"/>
        </w:rPr>
        <w:t>/</w:t>
      </w:r>
      <w:proofErr w:type="spellStart"/>
      <w:r w:rsidRPr="00726F0F">
        <w:rPr>
          <w:rFonts w:asciiTheme="minorHAnsi" w:eastAsiaTheme="minorEastAsia" w:hAnsiTheme="minorHAnsi" w:cstheme="minorBidi"/>
          <w:color w:val="000000" w:themeColor="text1"/>
          <w:kern w:val="24"/>
          <w:sz w:val="22"/>
          <w:szCs w:val="22"/>
        </w:rPr>
        <w:t>Stumass</w:t>
      </w:r>
      <w:proofErr w:type="spellEnd"/>
      <w:r w:rsidRPr="00726F0F">
        <w:rPr>
          <w:rFonts w:asciiTheme="minorHAnsi" w:eastAsiaTheme="minorEastAsia" w:hAnsiTheme="minorHAnsi" w:cstheme="minorBidi"/>
          <w:color w:val="000000" w:themeColor="text1"/>
          <w:kern w:val="24"/>
          <w:sz w:val="22"/>
          <w:szCs w:val="22"/>
        </w:rPr>
        <w:t xml:space="preserve">. Cliënten af laten schalen naar gezinshuizen in de wijk in plaats van een duurdere plek bezetten. </w:t>
      </w:r>
      <w:r w:rsidRPr="00726F0F">
        <w:rPr>
          <w:rFonts w:asciiTheme="minorHAnsi" w:eastAsiaTheme="minorEastAsia" w:hAnsiTheme="minorHAnsi"/>
          <w:sz w:val="22"/>
          <w:szCs w:val="22"/>
        </w:rPr>
        <w:sym w:font="Wingdings" w:char="F0E0"/>
      </w:r>
      <w:r w:rsidRPr="00726F0F">
        <w:rPr>
          <w:rFonts w:asciiTheme="minorHAnsi" w:eastAsiaTheme="minorEastAsia" w:hAnsiTheme="minorHAnsi" w:cstheme="minorBidi"/>
          <w:color w:val="000000" w:themeColor="text1"/>
          <w:kern w:val="24"/>
          <w:sz w:val="22"/>
          <w:szCs w:val="22"/>
        </w:rPr>
        <w:t xml:space="preserve"> Amarant Groep</w:t>
      </w:r>
    </w:p>
    <w:p w:rsidR="00726F0F" w:rsidRPr="00726F0F" w:rsidRDefault="00726F0F" w:rsidP="00726F0F">
      <w:pPr>
        <w:spacing w:after="0"/>
        <w:rPr>
          <w:rFonts w:eastAsiaTheme="majorEastAsia" w:cstheme="majorBidi"/>
          <w:color w:val="000000" w:themeColor="text1"/>
          <w:kern w:val="24"/>
        </w:rPr>
      </w:pPr>
    </w:p>
    <w:p w:rsidR="00726F0F" w:rsidRPr="00726F0F" w:rsidRDefault="00726F0F" w:rsidP="00726F0F">
      <w:pPr>
        <w:rPr>
          <w:rFonts w:eastAsiaTheme="majorEastAsia" w:cstheme="majorBidi"/>
          <w:color w:val="000000" w:themeColor="text1"/>
          <w:kern w:val="24"/>
        </w:rPr>
      </w:pPr>
    </w:p>
    <w:p w:rsidR="00726F0F" w:rsidRPr="00726F0F" w:rsidRDefault="00726F0F" w:rsidP="00726F0F">
      <w:pPr>
        <w:pStyle w:val="Normaalweb"/>
        <w:spacing w:before="200" w:beforeAutospacing="0" w:after="0" w:afterAutospacing="0" w:line="216" w:lineRule="auto"/>
        <w:rPr>
          <w:sz w:val="22"/>
          <w:szCs w:val="22"/>
        </w:rPr>
      </w:pPr>
    </w:p>
    <w:p w:rsidR="00793A96" w:rsidRDefault="00B10CF4"/>
    <w:sectPr w:rsidR="00793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7A8"/>
    <w:multiLevelType w:val="hybridMultilevel"/>
    <w:tmpl w:val="513E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E653F2"/>
    <w:multiLevelType w:val="hybridMultilevel"/>
    <w:tmpl w:val="54A496E2"/>
    <w:lvl w:ilvl="0" w:tplc="057A97CE">
      <w:start w:val="1"/>
      <w:numFmt w:val="bullet"/>
      <w:lvlText w:val="•"/>
      <w:lvlJc w:val="left"/>
      <w:pPr>
        <w:tabs>
          <w:tab w:val="num" w:pos="720"/>
        </w:tabs>
        <w:ind w:left="720" w:hanging="360"/>
      </w:pPr>
      <w:rPr>
        <w:rFonts w:ascii="Arial" w:hAnsi="Arial" w:hint="default"/>
      </w:rPr>
    </w:lvl>
    <w:lvl w:ilvl="1" w:tplc="40625BE8">
      <w:start w:val="1"/>
      <w:numFmt w:val="bullet"/>
      <w:lvlText w:val="•"/>
      <w:lvlJc w:val="left"/>
      <w:pPr>
        <w:tabs>
          <w:tab w:val="num" w:pos="1440"/>
        </w:tabs>
        <w:ind w:left="1440" w:hanging="360"/>
      </w:pPr>
      <w:rPr>
        <w:rFonts w:ascii="Arial" w:hAnsi="Arial" w:hint="default"/>
      </w:rPr>
    </w:lvl>
    <w:lvl w:ilvl="2" w:tplc="45926F5C" w:tentative="1">
      <w:start w:val="1"/>
      <w:numFmt w:val="bullet"/>
      <w:lvlText w:val="•"/>
      <w:lvlJc w:val="left"/>
      <w:pPr>
        <w:tabs>
          <w:tab w:val="num" w:pos="2160"/>
        </w:tabs>
        <w:ind w:left="2160" w:hanging="360"/>
      </w:pPr>
      <w:rPr>
        <w:rFonts w:ascii="Arial" w:hAnsi="Arial" w:hint="default"/>
      </w:rPr>
    </w:lvl>
    <w:lvl w:ilvl="3" w:tplc="87AC3710" w:tentative="1">
      <w:start w:val="1"/>
      <w:numFmt w:val="bullet"/>
      <w:lvlText w:val="•"/>
      <w:lvlJc w:val="left"/>
      <w:pPr>
        <w:tabs>
          <w:tab w:val="num" w:pos="2880"/>
        </w:tabs>
        <w:ind w:left="2880" w:hanging="360"/>
      </w:pPr>
      <w:rPr>
        <w:rFonts w:ascii="Arial" w:hAnsi="Arial" w:hint="default"/>
      </w:rPr>
    </w:lvl>
    <w:lvl w:ilvl="4" w:tplc="EB325D8C" w:tentative="1">
      <w:start w:val="1"/>
      <w:numFmt w:val="bullet"/>
      <w:lvlText w:val="•"/>
      <w:lvlJc w:val="left"/>
      <w:pPr>
        <w:tabs>
          <w:tab w:val="num" w:pos="3600"/>
        </w:tabs>
        <w:ind w:left="3600" w:hanging="360"/>
      </w:pPr>
      <w:rPr>
        <w:rFonts w:ascii="Arial" w:hAnsi="Arial" w:hint="default"/>
      </w:rPr>
    </w:lvl>
    <w:lvl w:ilvl="5" w:tplc="5284003C" w:tentative="1">
      <w:start w:val="1"/>
      <w:numFmt w:val="bullet"/>
      <w:lvlText w:val="•"/>
      <w:lvlJc w:val="left"/>
      <w:pPr>
        <w:tabs>
          <w:tab w:val="num" w:pos="4320"/>
        </w:tabs>
        <w:ind w:left="4320" w:hanging="360"/>
      </w:pPr>
      <w:rPr>
        <w:rFonts w:ascii="Arial" w:hAnsi="Arial" w:hint="default"/>
      </w:rPr>
    </w:lvl>
    <w:lvl w:ilvl="6" w:tplc="42A4D8B0" w:tentative="1">
      <w:start w:val="1"/>
      <w:numFmt w:val="bullet"/>
      <w:lvlText w:val="•"/>
      <w:lvlJc w:val="left"/>
      <w:pPr>
        <w:tabs>
          <w:tab w:val="num" w:pos="5040"/>
        </w:tabs>
        <w:ind w:left="5040" w:hanging="360"/>
      </w:pPr>
      <w:rPr>
        <w:rFonts w:ascii="Arial" w:hAnsi="Arial" w:hint="default"/>
      </w:rPr>
    </w:lvl>
    <w:lvl w:ilvl="7" w:tplc="55ECD2DA" w:tentative="1">
      <w:start w:val="1"/>
      <w:numFmt w:val="bullet"/>
      <w:lvlText w:val="•"/>
      <w:lvlJc w:val="left"/>
      <w:pPr>
        <w:tabs>
          <w:tab w:val="num" w:pos="5760"/>
        </w:tabs>
        <w:ind w:left="5760" w:hanging="360"/>
      </w:pPr>
      <w:rPr>
        <w:rFonts w:ascii="Arial" w:hAnsi="Arial" w:hint="default"/>
      </w:rPr>
    </w:lvl>
    <w:lvl w:ilvl="8" w:tplc="80DAB2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C44F80"/>
    <w:multiLevelType w:val="hybridMultilevel"/>
    <w:tmpl w:val="409CF894"/>
    <w:lvl w:ilvl="0" w:tplc="CDBC3C66">
      <w:start w:val="1"/>
      <w:numFmt w:val="bullet"/>
      <w:lvlText w:val="•"/>
      <w:lvlJc w:val="left"/>
      <w:pPr>
        <w:tabs>
          <w:tab w:val="num" w:pos="720"/>
        </w:tabs>
        <w:ind w:left="720" w:hanging="360"/>
      </w:pPr>
      <w:rPr>
        <w:rFonts w:ascii="Arial" w:hAnsi="Arial" w:hint="default"/>
      </w:rPr>
    </w:lvl>
    <w:lvl w:ilvl="1" w:tplc="82DCAD36" w:tentative="1">
      <w:start w:val="1"/>
      <w:numFmt w:val="bullet"/>
      <w:lvlText w:val="•"/>
      <w:lvlJc w:val="left"/>
      <w:pPr>
        <w:tabs>
          <w:tab w:val="num" w:pos="1440"/>
        </w:tabs>
        <w:ind w:left="1440" w:hanging="360"/>
      </w:pPr>
      <w:rPr>
        <w:rFonts w:ascii="Arial" w:hAnsi="Arial" w:hint="default"/>
      </w:rPr>
    </w:lvl>
    <w:lvl w:ilvl="2" w:tplc="66C2A3E2" w:tentative="1">
      <w:start w:val="1"/>
      <w:numFmt w:val="bullet"/>
      <w:lvlText w:val="•"/>
      <w:lvlJc w:val="left"/>
      <w:pPr>
        <w:tabs>
          <w:tab w:val="num" w:pos="2160"/>
        </w:tabs>
        <w:ind w:left="2160" w:hanging="360"/>
      </w:pPr>
      <w:rPr>
        <w:rFonts w:ascii="Arial" w:hAnsi="Arial" w:hint="default"/>
      </w:rPr>
    </w:lvl>
    <w:lvl w:ilvl="3" w:tplc="85E87700" w:tentative="1">
      <w:start w:val="1"/>
      <w:numFmt w:val="bullet"/>
      <w:lvlText w:val="•"/>
      <w:lvlJc w:val="left"/>
      <w:pPr>
        <w:tabs>
          <w:tab w:val="num" w:pos="2880"/>
        </w:tabs>
        <w:ind w:left="2880" w:hanging="360"/>
      </w:pPr>
      <w:rPr>
        <w:rFonts w:ascii="Arial" w:hAnsi="Arial" w:hint="default"/>
      </w:rPr>
    </w:lvl>
    <w:lvl w:ilvl="4" w:tplc="C79E8962" w:tentative="1">
      <w:start w:val="1"/>
      <w:numFmt w:val="bullet"/>
      <w:lvlText w:val="•"/>
      <w:lvlJc w:val="left"/>
      <w:pPr>
        <w:tabs>
          <w:tab w:val="num" w:pos="3600"/>
        </w:tabs>
        <w:ind w:left="3600" w:hanging="360"/>
      </w:pPr>
      <w:rPr>
        <w:rFonts w:ascii="Arial" w:hAnsi="Arial" w:hint="default"/>
      </w:rPr>
    </w:lvl>
    <w:lvl w:ilvl="5" w:tplc="0C3A630C" w:tentative="1">
      <w:start w:val="1"/>
      <w:numFmt w:val="bullet"/>
      <w:lvlText w:val="•"/>
      <w:lvlJc w:val="left"/>
      <w:pPr>
        <w:tabs>
          <w:tab w:val="num" w:pos="4320"/>
        </w:tabs>
        <w:ind w:left="4320" w:hanging="360"/>
      </w:pPr>
      <w:rPr>
        <w:rFonts w:ascii="Arial" w:hAnsi="Arial" w:hint="default"/>
      </w:rPr>
    </w:lvl>
    <w:lvl w:ilvl="6" w:tplc="19C64980" w:tentative="1">
      <w:start w:val="1"/>
      <w:numFmt w:val="bullet"/>
      <w:lvlText w:val="•"/>
      <w:lvlJc w:val="left"/>
      <w:pPr>
        <w:tabs>
          <w:tab w:val="num" w:pos="5040"/>
        </w:tabs>
        <w:ind w:left="5040" w:hanging="360"/>
      </w:pPr>
      <w:rPr>
        <w:rFonts w:ascii="Arial" w:hAnsi="Arial" w:hint="default"/>
      </w:rPr>
    </w:lvl>
    <w:lvl w:ilvl="7" w:tplc="2FE0FB1C" w:tentative="1">
      <w:start w:val="1"/>
      <w:numFmt w:val="bullet"/>
      <w:lvlText w:val="•"/>
      <w:lvlJc w:val="left"/>
      <w:pPr>
        <w:tabs>
          <w:tab w:val="num" w:pos="5760"/>
        </w:tabs>
        <w:ind w:left="5760" w:hanging="360"/>
      </w:pPr>
      <w:rPr>
        <w:rFonts w:ascii="Arial" w:hAnsi="Arial" w:hint="default"/>
      </w:rPr>
    </w:lvl>
    <w:lvl w:ilvl="8" w:tplc="F1784C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FE7529"/>
    <w:multiLevelType w:val="hybridMultilevel"/>
    <w:tmpl w:val="07688704"/>
    <w:lvl w:ilvl="0" w:tplc="3266E4F4">
      <w:start w:val="1"/>
      <w:numFmt w:val="bullet"/>
      <w:lvlText w:val="•"/>
      <w:lvlJc w:val="left"/>
      <w:pPr>
        <w:tabs>
          <w:tab w:val="num" w:pos="720"/>
        </w:tabs>
        <w:ind w:left="720" w:hanging="360"/>
      </w:pPr>
      <w:rPr>
        <w:rFonts w:ascii="Arial" w:hAnsi="Arial" w:hint="default"/>
      </w:rPr>
    </w:lvl>
    <w:lvl w:ilvl="1" w:tplc="24EE19DA" w:tentative="1">
      <w:start w:val="1"/>
      <w:numFmt w:val="bullet"/>
      <w:lvlText w:val="•"/>
      <w:lvlJc w:val="left"/>
      <w:pPr>
        <w:tabs>
          <w:tab w:val="num" w:pos="1440"/>
        </w:tabs>
        <w:ind w:left="1440" w:hanging="360"/>
      </w:pPr>
      <w:rPr>
        <w:rFonts w:ascii="Arial" w:hAnsi="Arial" w:hint="default"/>
      </w:rPr>
    </w:lvl>
    <w:lvl w:ilvl="2" w:tplc="2F5C44A8" w:tentative="1">
      <w:start w:val="1"/>
      <w:numFmt w:val="bullet"/>
      <w:lvlText w:val="•"/>
      <w:lvlJc w:val="left"/>
      <w:pPr>
        <w:tabs>
          <w:tab w:val="num" w:pos="2160"/>
        </w:tabs>
        <w:ind w:left="2160" w:hanging="360"/>
      </w:pPr>
      <w:rPr>
        <w:rFonts w:ascii="Arial" w:hAnsi="Arial" w:hint="default"/>
      </w:rPr>
    </w:lvl>
    <w:lvl w:ilvl="3" w:tplc="5F441254" w:tentative="1">
      <w:start w:val="1"/>
      <w:numFmt w:val="bullet"/>
      <w:lvlText w:val="•"/>
      <w:lvlJc w:val="left"/>
      <w:pPr>
        <w:tabs>
          <w:tab w:val="num" w:pos="2880"/>
        </w:tabs>
        <w:ind w:left="2880" w:hanging="360"/>
      </w:pPr>
      <w:rPr>
        <w:rFonts w:ascii="Arial" w:hAnsi="Arial" w:hint="default"/>
      </w:rPr>
    </w:lvl>
    <w:lvl w:ilvl="4" w:tplc="7A047450" w:tentative="1">
      <w:start w:val="1"/>
      <w:numFmt w:val="bullet"/>
      <w:lvlText w:val="•"/>
      <w:lvlJc w:val="left"/>
      <w:pPr>
        <w:tabs>
          <w:tab w:val="num" w:pos="3600"/>
        </w:tabs>
        <w:ind w:left="3600" w:hanging="360"/>
      </w:pPr>
      <w:rPr>
        <w:rFonts w:ascii="Arial" w:hAnsi="Arial" w:hint="default"/>
      </w:rPr>
    </w:lvl>
    <w:lvl w:ilvl="5" w:tplc="9B8A9B48" w:tentative="1">
      <w:start w:val="1"/>
      <w:numFmt w:val="bullet"/>
      <w:lvlText w:val="•"/>
      <w:lvlJc w:val="left"/>
      <w:pPr>
        <w:tabs>
          <w:tab w:val="num" w:pos="4320"/>
        </w:tabs>
        <w:ind w:left="4320" w:hanging="360"/>
      </w:pPr>
      <w:rPr>
        <w:rFonts w:ascii="Arial" w:hAnsi="Arial" w:hint="default"/>
      </w:rPr>
    </w:lvl>
    <w:lvl w:ilvl="6" w:tplc="87BCBCEC" w:tentative="1">
      <w:start w:val="1"/>
      <w:numFmt w:val="bullet"/>
      <w:lvlText w:val="•"/>
      <w:lvlJc w:val="left"/>
      <w:pPr>
        <w:tabs>
          <w:tab w:val="num" w:pos="5040"/>
        </w:tabs>
        <w:ind w:left="5040" w:hanging="360"/>
      </w:pPr>
      <w:rPr>
        <w:rFonts w:ascii="Arial" w:hAnsi="Arial" w:hint="default"/>
      </w:rPr>
    </w:lvl>
    <w:lvl w:ilvl="7" w:tplc="647436E6" w:tentative="1">
      <w:start w:val="1"/>
      <w:numFmt w:val="bullet"/>
      <w:lvlText w:val="•"/>
      <w:lvlJc w:val="left"/>
      <w:pPr>
        <w:tabs>
          <w:tab w:val="num" w:pos="5760"/>
        </w:tabs>
        <w:ind w:left="5760" w:hanging="360"/>
      </w:pPr>
      <w:rPr>
        <w:rFonts w:ascii="Arial" w:hAnsi="Arial" w:hint="default"/>
      </w:rPr>
    </w:lvl>
    <w:lvl w:ilvl="8" w:tplc="9B465F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1C09C5"/>
    <w:multiLevelType w:val="hybridMultilevel"/>
    <w:tmpl w:val="8B9EA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CF32E0"/>
    <w:multiLevelType w:val="hybridMultilevel"/>
    <w:tmpl w:val="DE7CF760"/>
    <w:lvl w:ilvl="0" w:tplc="D7EC3A68">
      <w:start w:val="1"/>
      <w:numFmt w:val="bullet"/>
      <w:lvlText w:val="•"/>
      <w:lvlJc w:val="left"/>
      <w:pPr>
        <w:tabs>
          <w:tab w:val="num" w:pos="720"/>
        </w:tabs>
        <w:ind w:left="720" w:hanging="360"/>
      </w:pPr>
      <w:rPr>
        <w:rFonts w:ascii="Arial" w:hAnsi="Arial" w:hint="default"/>
      </w:rPr>
    </w:lvl>
    <w:lvl w:ilvl="1" w:tplc="353A3ABC" w:tentative="1">
      <w:start w:val="1"/>
      <w:numFmt w:val="bullet"/>
      <w:lvlText w:val="•"/>
      <w:lvlJc w:val="left"/>
      <w:pPr>
        <w:tabs>
          <w:tab w:val="num" w:pos="1440"/>
        </w:tabs>
        <w:ind w:left="1440" w:hanging="360"/>
      </w:pPr>
      <w:rPr>
        <w:rFonts w:ascii="Arial" w:hAnsi="Arial" w:hint="default"/>
      </w:rPr>
    </w:lvl>
    <w:lvl w:ilvl="2" w:tplc="9FF05384" w:tentative="1">
      <w:start w:val="1"/>
      <w:numFmt w:val="bullet"/>
      <w:lvlText w:val="•"/>
      <w:lvlJc w:val="left"/>
      <w:pPr>
        <w:tabs>
          <w:tab w:val="num" w:pos="2160"/>
        </w:tabs>
        <w:ind w:left="2160" w:hanging="360"/>
      </w:pPr>
      <w:rPr>
        <w:rFonts w:ascii="Arial" w:hAnsi="Arial" w:hint="default"/>
      </w:rPr>
    </w:lvl>
    <w:lvl w:ilvl="3" w:tplc="7DF23910" w:tentative="1">
      <w:start w:val="1"/>
      <w:numFmt w:val="bullet"/>
      <w:lvlText w:val="•"/>
      <w:lvlJc w:val="left"/>
      <w:pPr>
        <w:tabs>
          <w:tab w:val="num" w:pos="2880"/>
        </w:tabs>
        <w:ind w:left="2880" w:hanging="360"/>
      </w:pPr>
      <w:rPr>
        <w:rFonts w:ascii="Arial" w:hAnsi="Arial" w:hint="default"/>
      </w:rPr>
    </w:lvl>
    <w:lvl w:ilvl="4" w:tplc="8E7826E0" w:tentative="1">
      <w:start w:val="1"/>
      <w:numFmt w:val="bullet"/>
      <w:lvlText w:val="•"/>
      <w:lvlJc w:val="left"/>
      <w:pPr>
        <w:tabs>
          <w:tab w:val="num" w:pos="3600"/>
        </w:tabs>
        <w:ind w:left="3600" w:hanging="360"/>
      </w:pPr>
      <w:rPr>
        <w:rFonts w:ascii="Arial" w:hAnsi="Arial" w:hint="default"/>
      </w:rPr>
    </w:lvl>
    <w:lvl w:ilvl="5" w:tplc="C3DA3664" w:tentative="1">
      <w:start w:val="1"/>
      <w:numFmt w:val="bullet"/>
      <w:lvlText w:val="•"/>
      <w:lvlJc w:val="left"/>
      <w:pPr>
        <w:tabs>
          <w:tab w:val="num" w:pos="4320"/>
        </w:tabs>
        <w:ind w:left="4320" w:hanging="360"/>
      </w:pPr>
      <w:rPr>
        <w:rFonts w:ascii="Arial" w:hAnsi="Arial" w:hint="default"/>
      </w:rPr>
    </w:lvl>
    <w:lvl w:ilvl="6" w:tplc="E4FE7742" w:tentative="1">
      <w:start w:val="1"/>
      <w:numFmt w:val="bullet"/>
      <w:lvlText w:val="•"/>
      <w:lvlJc w:val="left"/>
      <w:pPr>
        <w:tabs>
          <w:tab w:val="num" w:pos="5040"/>
        </w:tabs>
        <w:ind w:left="5040" w:hanging="360"/>
      </w:pPr>
      <w:rPr>
        <w:rFonts w:ascii="Arial" w:hAnsi="Arial" w:hint="default"/>
      </w:rPr>
    </w:lvl>
    <w:lvl w:ilvl="7" w:tplc="C498874E" w:tentative="1">
      <w:start w:val="1"/>
      <w:numFmt w:val="bullet"/>
      <w:lvlText w:val="•"/>
      <w:lvlJc w:val="left"/>
      <w:pPr>
        <w:tabs>
          <w:tab w:val="num" w:pos="5760"/>
        </w:tabs>
        <w:ind w:left="5760" w:hanging="360"/>
      </w:pPr>
      <w:rPr>
        <w:rFonts w:ascii="Arial" w:hAnsi="Arial" w:hint="default"/>
      </w:rPr>
    </w:lvl>
    <w:lvl w:ilvl="8" w:tplc="56CEAB6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0F"/>
    <w:rsid w:val="00726F0F"/>
    <w:rsid w:val="007E3BC8"/>
    <w:rsid w:val="00906016"/>
    <w:rsid w:val="00B10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FA11C-9A26-44B5-AC47-D596681C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26F0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726F0F"/>
    <w:pPr>
      <w:spacing w:after="0" w:line="240" w:lineRule="auto"/>
      <w:ind w:left="720"/>
      <w:contextualSpacing/>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10C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8656">
      <w:bodyDiv w:val="1"/>
      <w:marLeft w:val="0"/>
      <w:marRight w:val="0"/>
      <w:marTop w:val="0"/>
      <w:marBottom w:val="0"/>
      <w:divBdr>
        <w:top w:val="none" w:sz="0" w:space="0" w:color="auto"/>
        <w:left w:val="none" w:sz="0" w:space="0" w:color="auto"/>
        <w:bottom w:val="none" w:sz="0" w:space="0" w:color="auto"/>
        <w:right w:val="none" w:sz="0" w:space="0" w:color="auto"/>
      </w:divBdr>
      <w:divsChild>
        <w:div w:id="1225528021">
          <w:marLeft w:val="360"/>
          <w:marRight w:val="0"/>
          <w:marTop w:val="200"/>
          <w:marBottom w:val="0"/>
          <w:divBdr>
            <w:top w:val="none" w:sz="0" w:space="0" w:color="auto"/>
            <w:left w:val="none" w:sz="0" w:space="0" w:color="auto"/>
            <w:bottom w:val="none" w:sz="0" w:space="0" w:color="auto"/>
            <w:right w:val="none" w:sz="0" w:space="0" w:color="auto"/>
          </w:divBdr>
        </w:div>
        <w:div w:id="1799492916">
          <w:marLeft w:val="360"/>
          <w:marRight w:val="0"/>
          <w:marTop w:val="200"/>
          <w:marBottom w:val="0"/>
          <w:divBdr>
            <w:top w:val="none" w:sz="0" w:space="0" w:color="auto"/>
            <w:left w:val="none" w:sz="0" w:space="0" w:color="auto"/>
            <w:bottom w:val="none" w:sz="0" w:space="0" w:color="auto"/>
            <w:right w:val="none" w:sz="0" w:space="0" w:color="auto"/>
          </w:divBdr>
        </w:div>
        <w:div w:id="104010682">
          <w:marLeft w:val="360"/>
          <w:marRight w:val="0"/>
          <w:marTop w:val="200"/>
          <w:marBottom w:val="0"/>
          <w:divBdr>
            <w:top w:val="none" w:sz="0" w:space="0" w:color="auto"/>
            <w:left w:val="none" w:sz="0" w:space="0" w:color="auto"/>
            <w:bottom w:val="none" w:sz="0" w:space="0" w:color="auto"/>
            <w:right w:val="none" w:sz="0" w:space="0" w:color="auto"/>
          </w:divBdr>
        </w:div>
        <w:div w:id="629476459">
          <w:marLeft w:val="360"/>
          <w:marRight w:val="0"/>
          <w:marTop w:val="200"/>
          <w:marBottom w:val="0"/>
          <w:divBdr>
            <w:top w:val="none" w:sz="0" w:space="0" w:color="auto"/>
            <w:left w:val="none" w:sz="0" w:space="0" w:color="auto"/>
            <w:bottom w:val="none" w:sz="0" w:space="0" w:color="auto"/>
            <w:right w:val="none" w:sz="0" w:space="0" w:color="auto"/>
          </w:divBdr>
        </w:div>
        <w:div w:id="236405540">
          <w:marLeft w:val="360"/>
          <w:marRight w:val="0"/>
          <w:marTop w:val="200"/>
          <w:marBottom w:val="0"/>
          <w:divBdr>
            <w:top w:val="none" w:sz="0" w:space="0" w:color="auto"/>
            <w:left w:val="none" w:sz="0" w:space="0" w:color="auto"/>
            <w:bottom w:val="none" w:sz="0" w:space="0" w:color="auto"/>
            <w:right w:val="none" w:sz="0" w:space="0" w:color="auto"/>
          </w:divBdr>
        </w:div>
        <w:div w:id="1415976409">
          <w:marLeft w:val="360"/>
          <w:marRight w:val="0"/>
          <w:marTop w:val="200"/>
          <w:marBottom w:val="0"/>
          <w:divBdr>
            <w:top w:val="none" w:sz="0" w:space="0" w:color="auto"/>
            <w:left w:val="none" w:sz="0" w:space="0" w:color="auto"/>
            <w:bottom w:val="none" w:sz="0" w:space="0" w:color="auto"/>
            <w:right w:val="none" w:sz="0" w:space="0" w:color="auto"/>
          </w:divBdr>
        </w:div>
        <w:div w:id="1619877044">
          <w:marLeft w:val="360"/>
          <w:marRight w:val="0"/>
          <w:marTop w:val="200"/>
          <w:marBottom w:val="0"/>
          <w:divBdr>
            <w:top w:val="none" w:sz="0" w:space="0" w:color="auto"/>
            <w:left w:val="none" w:sz="0" w:space="0" w:color="auto"/>
            <w:bottom w:val="none" w:sz="0" w:space="0" w:color="auto"/>
            <w:right w:val="none" w:sz="0" w:space="0" w:color="auto"/>
          </w:divBdr>
        </w:div>
      </w:divsChild>
    </w:div>
    <w:div w:id="113914151">
      <w:bodyDiv w:val="1"/>
      <w:marLeft w:val="0"/>
      <w:marRight w:val="0"/>
      <w:marTop w:val="0"/>
      <w:marBottom w:val="0"/>
      <w:divBdr>
        <w:top w:val="none" w:sz="0" w:space="0" w:color="auto"/>
        <w:left w:val="none" w:sz="0" w:space="0" w:color="auto"/>
        <w:bottom w:val="none" w:sz="0" w:space="0" w:color="auto"/>
        <w:right w:val="none" w:sz="0" w:space="0" w:color="auto"/>
      </w:divBdr>
    </w:div>
    <w:div w:id="489056217">
      <w:bodyDiv w:val="1"/>
      <w:marLeft w:val="0"/>
      <w:marRight w:val="0"/>
      <w:marTop w:val="0"/>
      <w:marBottom w:val="0"/>
      <w:divBdr>
        <w:top w:val="none" w:sz="0" w:space="0" w:color="auto"/>
        <w:left w:val="none" w:sz="0" w:space="0" w:color="auto"/>
        <w:bottom w:val="none" w:sz="0" w:space="0" w:color="auto"/>
        <w:right w:val="none" w:sz="0" w:space="0" w:color="auto"/>
      </w:divBdr>
    </w:div>
    <w:div w:id="991450866">
      <w:bodyDiv w:val="1"/>
      <w:marLeft w:val="0"/>
      <w:marRight w:val="0"/>
      <w:marTop w:val="0"/>
      <w:marBottom w:val="0"/>
      <w:divBdr>
        <w:top w:val="none" w:sz="0" w:space="0" w:color="auto"/>
        <w:left w:val="none" w:sz="0" w:space="0" w:color="auto"/>
        <w:bottom w:val="none" w:sz="0" w:space="0" w:color="auto"/>
        <w:right w:val="none" w:sz="0" w:space="0" w:color="auto"/>
      </w:divBdr>
    </w:div>
    <w:div w:id="1430151784">
      <w:bodyDiv w:val="1"/>
      <w:marLeft w:val="0"/>
      <w:marRight w:val="0"/>
      <w:marTop w:val="0"/>
      <w:marBottom w:val="0"/>
      <w:divBdr>
        <w:top w:val="none" w:sz="0" w:space="0" w:color="auto"/>
        <w:left w:val="none" w:sz="0" w:space="0" w:color="auto"/>
        <w:bottom w:val="none" w:sz="0" w:space="0" w:color="auto"/>
        <w:right w:val="none" w:sz="0" w:space="0" w:color="auto"/>
      </w:divBdr>
    </w:div>
    <w:div w:id="1638605519">
      <w:bodyDiv w:val="1"/>
      <w:marLeft w:val="0"/>
      <w:marRight w:val="0"/>
      <w:marTop w:val="0"/>
      <w:marBottom w:val="0"/>
      <w:divBdr>
        <w:top w:val="none" w:sz="0" w:space="0" w:color="auto"/>
        <w:left w:val="none" w:sz="0" w:space="0" w:color="auto"/>
        <w:bottom w:val="none" w:sz="0" w:space="0" w:color="auto"/>
        <w:right w:val="none" w:sz="0" w:space="0" w:color="auto"/>
      </w:divBdr>
      <w:divsChild>
        <w:div w:id="290786154">
          <w:marLeft w:val="360"/>
          <w:marRight w:val="0"/>
          <w:marTop w:val="200"/>
          <w:marBottom w:val="0"/>
          <w:divBdr>
            <w:top w:val="none" w:sz="0" w:space="0" w:color="auto"/>
            <w:left w:val="none" w:sz="0" w:space="0" w:color="auto"/>
            <w:bottom w:val="none" w:sz="0" w:space="0" w:color="auto"/>
            <w:right w:val="none" w:sz="0" w:space="0" w:color="auto"/>
          </w:divBdr>
        </w:div>
        <w:div w:id="1651866759">
          <w:marLeft w:val="360"/>
          <w:marRight w:val="0"/>
          <w:marTop w:val="200"/>
          <w:marBottom w:val="0"/>
          <w:divBdr>
            <w:top w:val="none" w:sz="0" w:space="0" w:color="auto"/>
            <w:left w:val="none" w:sz="0" w:space="0" w:color="auto"/>
            <w:bottom w:val="none" w:sz="0" w:space="0" w:color="auto"/>
            <w:right w:val="none" w:sz="0" w:space="0" w:color="auto"/>
          </w:divBdr>
        </w:div>
      </w:divsChild>
    </w:div>
    <w:div w:id="1689797842">
      <w:bodyDiv w:val="1"/>
      <w:marLeft w:val="0"/>
      <w:marRight w:val="0"/>
      <w:marTop w:val="0"/>
      <w:marBottom w:val="0"/>
      <w:divBdr>
        <w:top w:val="none" w:sz="0" w:space="0" w:color="auto"/>
        <w:left w:val="none" w:sz="0" w:space="0" w:color="auto"/>
        <w:bottom w:val="none" w:sz="0" w:space="0" w:color="auto"/>
        <w:right w:val="none" w:sz="0" w:space="0" w:color="auto"/>
      </w:divBdr>
      <w:divsChild>
        <w:div w:id="2052222832">
          <w:marLeft w:val="1080"/>
          <w:marRight w:val="0"/>
          <w:marTop w:val="100"/>
          <w:marBottom w:val="0"/>
          <w:divBdr>
            <w:top w:val="none" w:sz="0" w:space="0" w:color="auto"/>
            <w:left w:val="none" w:sz="0" w:space="0" w:color="auto"/>
            <w:bottom w:val="none" w:sz="0" w:space="0" w:color="auto"/>
            <w:right w:val="none" w:sz="0" w:space="0" w:color="auto"/>
          </w:divBdr>
        </w:div>
        <w:div w:id="1246113548">
          <w:marLeft w:val="1080"/>
          <w:marRight w:val="0"/>
          <w:marTop w:val="100"/>
          <w:marBottom w:val="0"/>
          <w:divBdr>
            <w:top w:val="none" w:sz="0" w:space="0" w:color="auto"/>
            <w:left w:val="none" w:sz="0" w:space="0" w:color="auto"/>
            <w:bottom w:val="none" w:sz="0" w:space="0" w:color="auto"/>
            <w:right w:val="none" w:sz="0" w:space="0" w:color="auto"/>
          </w:divBdr>
        </w:div>
      </w:divsChild>
    </w:div>
    <w:div w:id="1913468033">
      <w:bodyDiv w:val="1"/>
      <w:marLeft w:val="0"/>
      <w:marRight w:val="0"/>
      <w:marTop w:val="0"/>
      <w:marBottom w:val="0"/>
      <w:divBdr>
        <w:top w:val="none" w:sz="0" w:space="0" w:color="auto"/>
        <w:left w:val="none" w:sz="0" w:space="0" w:color="auto"/>
        <w:bottom w:val="none" w:sz="0" w:space="0" w:color="auto"/>
        <w:right w:val="none" w:sz="0" w:space="0" w:color="auto"/>
      </w:divBdr>
      <w:divsChild>
        <w:div w:id="1587493994">
          <w:marLeft w:val="360"/>
          <w:marRight w:val="0"/>
          <w:marTop w:val="200"/>
          <w:marBottom w:val="0"/>
          <w:divBdr>
            <w:top w:val="none" w:sz="0" w:space="0" w:color="auto"/>
            <w:left w:val="none" w:sz="0" w:space="0" w:color="auto"/>
            <w:bottom w:val="none" w:sz="0" w:space="0" w:color="auto"/>
            <w:right w:val="none" w:sz="0" w:space="0" w:color="auto"/>
          </w:divBdr>
        </w:div>
        <w:div w:id="774716182">
          <w:marLeft w:val="360"/>
          <w:marRight w:val="0"/>
          <w:marTop w:val="200"/>
          <w:marBottom w:val="0"/>
          <w:divBdr>
            <w:top w:val="none" w:sz="0" w:space="0" w:color="auto"/>
            <w:left w:val="none" w:sz="0" w:space="0" w:color="auto"/>
            <w:bottom w:val="none" w:sz="0" w:space="0" w:color="auto"/>
            <w:right w:val="none" w:sz="0" w:space="0" w:color="auto"/>
          </w:divBdr>
        </w:div>
        <w:div w:id="204197400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3015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Kees van Dommelen</dc:creator>
  <cp:lastModifiedBy>Christine Scholts</cp:lastModifiedBy>
  <cp:revision>2</cp:revision>
  <dcterms:created xsi:type="dcterms:W3CDTF">2018-07-13T13:06:00Z</dcterms:created>
  <dcterms:modified xsi:type="dcterms:W3CDTF">2018-07-13T13:06:00Z</dcterms:modified>
</cp:coreProperties>
</file>